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309" w:rsidRPr="005F3825" w:rsidRDefault="006C5309" w:rsidP="006C5309">
      <w:pPr>
        <w:tabs>
          <w:tab w:val="left" w:pos="6430"/>
        </w:tabs>
        <w:spacing w:line="240" w:lineRule="exact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F3825">
        <w:rPr>
          <w:rFonts w:ascii="Times New Roman" w:hAnsi="Times New Roman"/>
          <w:bCs/>
          <w:sz w:val="24"/>
          <w:szCs w:val="24"/>
          <w:lang w:val="ro-RO"/>
        </w:rPr>
        <w:t xml:space="preserve">Nr.                     din   </w:t>
      </w:r>
      <w:r w:rsidR="008E7CEE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:rsidR="006C5309" w:rsidRPr="005F3825" w:rsidRDefault="006C5309" w:rsidP="006C5309">
      <w:pPr>
        <w:tabs>
          <w:tab w:val="left" w:pos="6430"/>
        </w:tabs>
        <w:spacing w:line="240" w:lineRule="exact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5F3825">
        <w:rPr>
          <w:rFonts w:ascii="Times New Roman" w:hAnsi="Times New Roman"/>
          <w:bCs/>
          <w:sz w:val="24"/>
          <w:szCs w:val="24"/>
          <w:lang w:val="ro-RO"/>
        </w:rPr>
        <w:t>Către,</w:t>
      </w:r>
    </w:p>
    <w:p w:rsidR="006C5309" w:rsidRPr="005F3825" w:rsidRDefault="006C5309" w:rsidP="006C5309">
      <w:pPr>
        <w:tabs>
          <w:tab w:val="left" w:pos="6430"/>
        </w:tabs>
        <w:spacing w:line="240" w:lineRule="exact"/>
        <w:rPr>
          <w:rFonts w:ascii="Times New Roman" w:hAnsi="Times New Roman"/>
          <w:b/>
          <w:bCs/>
          <w:i/>
          <w:sz w:val="28"/>
          <w:szCs w:val="28"/>
          <w:lang w:val="ro-RO"/>
        </w:rPr>
      </w:pPr>
      <w:r w:rsidRPr="005F3825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                </w:t>
      </w:r>
      <w:r w:rsidRPr="005F3825">
        <w:rPr>
          <w:rFonts w:ascii="Times New Roman" w:hAnsi="Times New Roman"/>
          <w:b/>
          <w:bCs/>
          <w:i/>
          <w:sz w:val="28"/>
          <w:szCs w:val="28"/>
          <w:lang w:val="ro-RO"/>
        </w:rPr>
        <w:t xml:space="preserve"> Unitățile  școlare</w:t>
      </w:r>
      <w:r w:rsidR="008E7CEE">
        <w:rPr>
          <w:rFonts w:ascii="Times New Roman" w:hAnsi="Times New Roman"/>
          <w:b/>
          <w:bCs/>
          <w:i/>
          <w:sz w:val="28"/>
          <w:szCs w:val="28"/>
          <w:lang w:val="ro-RO"/>
        </w:rPr>
        <w:t>/conexe</w:t>
      </w:r>
      <w:r w:rsidR="008E7CEE" w:rsidRPr="005F3825">
        <w:rPr>
          <w:rFonts w:ascii="Times New Roman" w:hAnsi="Times New Roman"/>
          <w:b/>
          <w:bCs/>
          <w:i/>
          <w:sz w:val="28"/>
          <w:szCs w:val="28"/>
          <w:lang w:val="ro-RO"/>
        </w:rPr>
        <w:t xml:space="preserve"> </w:t>
      </w:r>
      <w:r w:rsidRPr="005F3825">
        <w:rPr>
          <w:rFonts w:ascii="Times New Roman" w:hAnsi="Times New Roman"/>
          <w:b/>
          <w:bCs/>
          <w:i/>
          <w:sz w:val="28"/>
          <w:szCs w:val="28"/>
          <w:lang w:val="ro-RO"/>
        </w:rPr>
        <w:t xml:space="preserve">cu personalitate juridică din județul </w:t>
      </w:r>
      <w:r w:rsidR="008E7CEE">
        <w:rPr>
          <w:rFonts w:ascii="Times New Roman" w:hAnsi="Times New Roman"/>
          <w:b/>
          <w:bCs/>
          <w:i/>
          <w:sz w:val="28"/>
          <w:szCs w:val="28"/>
          <w:lang w:val="ro-RO"/>
        </w:rPr>
        <w:t xml:space="preserve"> .......................</w:t>
      </w:r>
    </w:p>
    <w:p w:rsidR="006C5309" w:rsidRPr="005F3825" w:rsidRDefault="006C5309" w:rsidP="006C5309">
      <w:pPr>
        <w:tabs>
          <w:tab w:val="left" w:pos="6430"/>
        </w:tabs>
        <w:spacing w:line="240" w:lineRule="exact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5F3825">
        <w:rPr>
          <w:rFonts w:ascii="Times New Roman" w:hAnsi="Times New Roman"/>
          <w:b/>
          <w:bCs/>
          <w:i/>
          <w:sz w:val="28"/>
          <w:szCs w:val="28"/>
          <w:lang w:val="ro-RO"/>
        </w:rPr>
        <w:t xml:space="preserve">              </w:t>
      </w:r>
      <w:r w:rsidRPr="005F3825">
        <w:rPr>
          <w:rFonts w:ascii="Times New Roman" w:hAnsi="Times New Roman"/>
          <w:b/>
          <w:bCs/>
          <w:i/>
          <w:sz w:val="24"/>
          <w:szCs w:val="24"/>
          <w:lang w:val="ro-RO"/>
        </w:rPr>
        <w:t>În atenția doamnei/domnului director</w:t>
      </w:r>
    </w:p>
    <w:p w:rsidR="006C5309" w:rsidRPr="005F3825" w:rsidRDefault="006C5309" w:rsidP="006C5309">
      <w:pPr>
        <w:tabs>
          <w:tab w:val="left" w:pos="6430"/>
        </w:tabs>
        <w:spacing w:line="240" w:lineRule="exact"/>
        <w:rPr>
          <w:rFonts w:ascii="Times New Roman" w:hAnsi="Times New Roman"/>
          <w:bCs/>
          <w:sz w:val="24"/>
          <w:szCs w:val="24"/>
          <w:lang w:val="ro-RO"/>
        </w:rPr>
      </w:pPr>
    </w:p>
    <w:p w:rsidR="006C5309" w:rsidRPr="005F3825" w:rsidRDefault="006C5309" w:rsidP="006C530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F3825">
        <w:rPr>
          <w:rFonts w:ascii="Times New Roman" w:eastAsia="Times New Roman" w:hAnsi="Times New Roman"/>
          <w:sz w:val="24"/>
          <w:szCs w:val="24"/>
          <w:lang w:val="ro-RO"/>
        </w:rPr>
        <w:t xml:space="preserve">În </w:t>
      </w:r>
      <w:hyperlink r:id="rId8" w:history="1">
        <w:r w:rsidRPr="005F3825">
          <w:rPr>
            <w:rFonts w:ascii="Times New Roman" w:eastAsia="Times New Roman" w:hAnsi="Times New Roman"/>
            <w:sz w:val="24"/>
            <w:szCs w:val="24"/>
            <w:lang w:val="ro-RO"/>
          </w:rPr>
          <w:t>Monitorul Oficial nr. 751 din 30 august 2018</w:t>
        </w:r>
      </w:hyperlink>
      <w:r w:rsidRPr="005F3825">
        <w:rPr>
          <w:rFonts w:ascii="Times New Roman" w:eastAsia="Times New Roman" w:hAnsi="Times New Roman"/>
          <w:sz w:val="24"/>
          <w:szCs w:val="24"/>
          <w:lang w:val="ro-RO"/>
        </w:rPr>
        <w:t xml:space="preserve"> a fost publicată </w:t>
      </w:r>
      <w:hyperlink r:id="rId9" w:history="1">
        <w:r w:rsidRPr="005F3825">
          <w:rPr>
            <w:rFonts w:ascii="Times New Roman" w:eastAsia="Times New Roman" w:hAnsi="Times New Roman"/>
            <w:b/>
            <w:bCs/>
            <w:i/>
            <w:sz w:val="24"/>
            <w:szCs w:val="24"/>
            <w:lang w:val="ro-RO"/>
          </w:rPr>
          <w:t>H.G. nr. 599 din 2 august 2018</w:t>
        </w:r>
      </w:hyperlink>
      <w:r w:rsidRPr="005F3825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 pentru aprobarea </w:t>
      </w:r>
      <w:r w:rsidRPr="005F3825">
        <w:rPr>
          <w:rFonts w:ascii="Times New Roman" w:eastAsia="Times New Roman" w:hAnsi="Times New Roman"/>
          <w:b/>
          <w:bCs/>
          <w:i/>
          <w:sz w:val="24"/>
          <w:szCs w:val="24"/>
          <w:lang w:val="ro-RO"/>
        </w:rPr>
        <w:t>Metodologiei standard</w:t>
      </w:r>
      <w:r w:rsidRPr="005F3825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 de </w:t>
      </w:r>
      <w:r w:rsidRPr="005F3825">
        <w:rPr>
          <w:rFonts w:ascii="Times New Roman" w:eastAsia="Times New Roman" w:hAnsi="Times New Roman"/>
          <w:b/>
          <w:bCs/>
          <w:i/>
          <w:sz w:val="24"/>
          <w:szCs w:val="24"/>
          <w:lang w:val="ro-RO"/>
        </w:rPr>
        <w:t>evaluare a riscurilor de corupţie</w:t>
      </w:r>
      <w:r w:rsidRPr="005F3825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 în cadrul autorităţilor şi instituţiilor publice centrale, împreună cu indicatorii de estimare a probabilităţii de materializare a riscurilor de corupţie, cu indicatorii de estimare a impactului în situaţia materializării riscurilor de corupţie şi formatul registrului riscurilor de corupţie, precum şi pentru aprobarea </w:t>
      </w:r>
      <w:r w:rsidRPr="005F3825">
        <w:rPr>
          <w:rFonts w:ascii="Times New Roman" w:eastAsia="Times New Roman" w:hAnsi="Times New Roman"/>
          <w:b/>
          <w:bCs/>
          <w:i/>
          <w:sz w:val="24"/>
          <w:szCs w:val="24"/>
          <w:lang w:val="ro-RO"/>
        </w:rPr>
        <w:t>Metodologiei de evaluare a incidentelor de integritate</w:t>
      </w:r>
      <w:r w:rsidRPr="005F3825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 în cadrul autorităţilor şi instituţiilor publice centrale, împreună cu formatul raportului anual de evaluare a incidentelor de integritate</w:t>
      </w:r>
      <w:r w:rsidRPr="005F3825">
        <w:rPr>
          <w:rFonts w:ascii="Times New Roman" w:eastAsia="Times New Roman" w:hAnsi="Times New Roman"/>
          <w:sz w:val="24"/>
          <w:szCs w:val="24"/>
          <w:lang w:val="ro-RO"/>
        </w:rPr>
        <w:t>. Data intrării în vigoare: 30 august 2018.</w:t>
      </w:r>
    </w:p>
    <w:p w:rsidR="006C5309" w:rsidRPr="005F3825" w:rsidRDefault="00932D45" w:rsidP="006C530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hyperlink r:id="rId10" w:history="1">
        <w:r w:rsidR="006C5309" w:rsidRPr="005F3825">
          <w:rPr>
            <w:rFonts w:ascii="Times New Roman" w:eastAsia="Times New Roman" w:hAnsi="Times New Roman"/>
            <w:bCs/>
            <w:sz w:val="24"/>
            <w:szCs w:val="24"/>
            <w:lang w:val="ro-RO"/>
          </w:rPr>
          <w:t>H.G. nr. 599 din 2 august 2018</w:t>
        </w:r>
      </w:hyperlink>
      <w:r w:rsidR="006C5309" w:rsidRPr="005F3825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="006C5309" w:rsidRPr="005F3825">
        <w:rPr>
          <w:rFonts w:ascii="Times New Roman" w:eastAsia="Times New Roman" w:hAnsi="Times New Roman"/>
          <w:sz w:val="24"/>
          <w:szCs w:val="24"/>
          <w:lang w:val="ro-RO"/>
        </w:rPr>
        <w:t>aprobă:</w:t>
      </w:r>
    </w:p>
    <w:p w:rsidR="006C5309" w:rsidRPr="005F3825" w:rsidRDefault="00932D45" w:rsidP="006C53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hyperlink r:id="rId11" w:history="1">
        <w:r w:rsidR="006C5309" w:rsidRPr="005F3825">
          <w:rPr>
            <w:rFonts w:ascii="Times New Roman" w:eastAsia="Times New Roman" w:hAnsi="Times New Roman"/>
            <w:bCs/>
            <w:sz w:val="24"/>
            <w:szCs w:val="24"/>
            <w:lang w:val="ro-RO"/>
          </w:rPr>
          <w:t>Metodologia standard</w:t>
        </w:r>
      </w:hyperlink>
      <w:r w:rsidR="006C5309" w:rsidRPr="005F3825">
        <w:rPr>
          <w:rFonts w:ascii="Times New Roman" w:eastAsia="Times New Roman" w:hAnsi="Times New Roman"/>
          <w:bCs/>
          <w:sz w:val="24"/>
          <w:szCs w:val="24"/>
          <w:lang w:val="ro-RO"/>
        </w:rPr>
        <w:t> de evaluare a riscurilor de corupţie</w:t>
      </w:r>
      <w:r w:rsidR="006C5309" w:rsidRPr="005F3825">
        <w:rPr>
          <w:rFonts w:ascii="Times New Roman" w:eastAsia="Times New Roman" w:hAnsi="Times New Roman"/>
          <w:sz w:val="24"/>
          <w:szCs w:val="24"/>
          <w:lang w:val="ro-RO"/>
        </w:rPr>
        <w:t xml:space="preserve"> în cadrul autorităţilor şi instituţiilor publice centrale, prevăzută în </w:t>
      </w:r>
      <w:r w:rsidR="006C5309" w:rsidRPr="005F3825">
        <w:rPr>
          <w:rFonts w:ascii="Times New Roman" w:eastAsia="Times New Roman" w:hAnsi="Times New Roman"/>
          <w:bCs/>
          <w:sz w:val="24"/>
          <w:szCs w:val="24"/>
          <w:lang w:val="ro-RO"/>
        </w:rPr>
        <w:t>anexa nr. 1</w:t>
      </w:r>
      <w:r w:rsidR="006C5309" w:rsidRPr="005F3825">
        <w:rPr>
          <w:rFonts w:ascii="Times New Roman" w:eastAsia="Times New Roman" w:hAnsi="Times New Roman"/>
          <w:sz w:val="24"/>
          <w:szCs w:val="24"/>
          <w:lang w:val="ro-RO"/>
        </w:rPr>
        <w:t xml:space="preserve">, împreună cu indicatorii de estimare a probabilităţii de materializare a riscurilor de corupţie, prevăzuţi în </w:t>
      </w:r>
      <w:r w:rsidR="006C5309" w:rsidRPr="005F3825">
        <w:rPr>
          <w:rFonts w:ascii="Times New Roman" w:eastAsia="Times New Roman" w:hAnsi="Times New Roman"/>
          <w:bCs/>
          <w:sz w:val="24"/>
          <w:szCs w:val="24"/>
          <w:lang w:val="ro-RO"/>
        </w:rPr>
        <w:t>anexa nr. 2</w:t>
      </w:r>
      <w:r w:rsidR="006C5309" w:rsidRPr="005F3825">
        <w:rPr>
          <w:rFonts w:ascii="Times New Roman" w:eastAsia="Times New Roman" w:hAnsi="Times New Roman"/>
          <w:sz w:val="24"/>
          <w:szCs w:val="24"/>
          <w:lang w:val="ro-RO"/>
        </w:rPr>
        <w:t xml:space="preserve">, cu indicatorii de estimare a impactului în situaţia materializării riscurilor de corupţie, prevăzuţi în </w:t>
      </w:r>
      <w:r w:rsidR="006C5309" w:rsidRPr="005F3825">
        <w:rPr>
          <w:rFonts w:ascii="Times New Roman" w:eastAsia="Times New Roman" w:hAnsi="Times New Roman"/>
          <w:bCs/>
          <w:sz w:val="24"/>
          <w:szCs w:val="24"/>
          <w:lang w:val="ro-RO"/>
        </w:rPr>
        <w:t>anexa nr. 3</w:t>
      </w:r>
      <w:r w:rsidR="006C5309" w:rsidRPr="005F3825">
        <w:rPr>
          <w:rFonts w:ascii="Times New Roman" w:eastAsia="Times New Roman" w:hAnsi="Times New Roman"/>
          <w:sz w:val="24"/>
          <w:szCs w:val="24"/>
          <w:lang w:val="ro-RO"/>
        </w:rPr>
        <w:t xml:space="preserve">, şi formatul registrului riscurilor de corupţie, prevăzut în </w:t>
      </w:r>
      <w:r w:rsidR="006C5309" w:rsidRPr="005F3825">
        <w:rPr>
          <w:rFonts w:ascii="Times New Roman" w:eastAsia="Times New Roman" w:hAnsi="Times New Roman"/>
          <w:bCs/>
          <w:sz w:val="24"/>
          <w:szCs w:val="24"/>
          <w:lang w:val="ro-RO"/>
        </w:rPr>
        <w:t>anexa nr. 4</w:t>
      </w:r>
      <w:r w:rsidR="006C5309" w:rsidRPr="005F3825">
        <w:rPr>
          <w:rFonts w:ascii="Times New Roman" w:eastAsia="Times New Roman" w:hAnsi="Times New Roman"/>
          <w:sz w:val="24"/>
          <w:szCs w:val="24"/>
          <w:lang w:val="ro-RO"/>
        </w:rPr>
        <w:t>. </w:t>
      </w:r>
    </w:p>
    <w:p w:rsidR="006C5309" w:rsidRPr="005F3825" w:rsidRDefault="006C5309" w:rsidP="006C53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F3825">
        <w:rPr>
          <w:rFonts w:ascii="Times New Roman" w:eastAsia="Times New Roman" w:hAnsi="Times New Roman"/>
          <w:bCs/>
          <w:sz w:val="24"/>
          <w:szCs w:val="24"/>
          <w:lang w:val="ro-RO"/>
        </w:rPr>
        <w:t>Metodologia de evaluare a incidentelor de integritate</w:t>
      </w:r>
      <w:r w:rsidRPr="005F3825">
        <w:rPr>
          <w:rFonts w:ascii="Times New Roman" w:eastAsia="Times New Roman" w:hAnsi="Times New Roman"/>
          <w:sz w:val="24"/>
          <w:szCs w:val="24"/>
          <w:lang w:val="ro-RO"/>
        </w:rPr>
        <w:t xml:space="preserve"> în cadrul autorităţilor şi instituţiilor publice centrale, prevăzută în </w:t>
      </w:r>
      <w:r w:rsidRPr="005F3825">
        <w:rPr>
          <w:rFonts w:ascii="Times New Roman" w:eastAsia="Times New Roman" w:hAnsi="Times New Roman"/>
          <w:bCs/>
          <w:sz w:val="24"/>
          <w:szCs w:val="24"/>
          <w:lang w:val="ro-RO"/>
        </w:rPr>
        <w:t>anexa nr. 5</w:t>
      </w:r>
      <w:r w:rsidRPr="005F3825">
        <w:rPr>
          <w:rFonts w:ascii="Times New Roman" w:eastAsia="Times New Roman" w:hAnsi="Times New Roman"/>
          <w:sz w:val="24"/>
          <w:szCs w:val="24"/>
          <w:lang w:val="ro-RO"/>
        </w:rPr>
        <w:t xml:space="preserve">, împreună cu formatul raportului anual de evaluare a incidentelor de integritate, prevăzut în </w:t>
      </w:r>
      <w:r w:rsidRPr="005F3825">
        <w:rPr>
          <w:rFonts w:ascii="Times New Roman" w:eastAsia="Times New Roman" w:hAnsi="Times New Roman"/>
          <w:bCs/>
          <w:sz w:val="24"/>
          <w:szCs w:val="24"/>
          <w:lang w:val="ro-RO"/>
        </w:rPr>
        <w:t>anexa nr. 6</w:t>
      </w:r>
      <w:r w:rsidRPr="005F3825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6C5309" w:rsidRPr="005F3825" w:rsidRDefault="006C5309" w:rsidP="006C5309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5F3825">
        <w:rPr>
          <w:rFonts w:ascii="Times New Roman" w:hAnsi="Times New Roman"/>
        </w:rPr>
        <w:t>În</w:t>
      </w:r>
      <w:proofErr w:type="spellEnd"/>
      <w:r w:rsidRPr="005F3825">
        <w:rPr>
          <w:rFonts w:ascii="Times New Roman" w:hAnsi="Times New Roman"/>
        </w:rPr>
        <w:t xml:space="preserve"> </w:t>
      </w:r>
      <w:proofErr w:type="spellStart"/>
      <w:r w:rsidRPr="005F3825">
        <w:rPr>
          <w:rFonts w:ascii="Times New Roman" w:hAnsi="Times New Roman"/>
        </w:rPr>
        <w:t>vederea</w:t>
      </w:r>
      <w:proofErr w:type="spellEnd"/>
      <w:r w:rsidRPr="005F3825">
        <w:rPr>
          <w:rFonts w:ascii="Times New Roman" w:hAnsi="Times New Roman"/>
        </w:rPr>
        <w:t xml:space="preserve"> </w:t>
      </w:r>
      <w:proofErr w:type="spellStart"/>
      <w:r w:rsidRPr="005F3825">
        <w:rPr>
          <w:rFonts w:ascii="Times New Roman" w:hAnsi="Times New Roman"/>
        </w:rPr>
        <w:t>realizării</w:t>
      </w:r>
      <w:proofErr w:type="spellEnd"/>
      <w:r w:rsidRPr="005F3825">
        <w:rPr>
          <w:rFonts w:ascii="Times New Roman" w:hAnsi="Times New Roman"/>
        </w:rPr>
        <w:t xml:space="preserve"> </w:t>
      </w:r>
      <w:proofErr w:type="spellStart"/>
      <w:r w:rsidRPr="005F3825">
        <w:rPr>
          <w:rFonts w:ascii="Times New Roman" w:hAnsi="Times New Roman"/>
        </w:rPr>
        <w:t>activităţilor</w:t>
      </w:r>
      <w:proofErr w:type="spellEnd"/>
      <w:r w:rsidRPr="005F3825">
        <w:rPr>
          <w:rFonts w:ascii="Times New Roman" w:hAnsi="Times New Roman"/>
        </w:rPr>
        <w:t xml:space="preserve"> </w:t>
      </w:r>
      <w:proofErr w:type="spellStart"/>
      <w:r w:rsidRPr="005F3825">
        <w:rPr>
          <w:rFonts w:ascii="Times New Roman" w:hAnsi="Times New Roman"/>
        </w:rPr>
        <w:t>prevăzute</w:t>
      </w:r>
      <w:proofErr w:type="spellEnd"/>
      <w:r w:rsidRPr="005F3825">
        <w:rPr>
          <w:rFonts w:ascii="Times New Roman" w:hAnsi="Times New Roman"/>
        </w:rPr>
        <w:t xml:space="preserve"> de </w:t>
      </w:r>
      <w:proofErr w:type="spellStart"/>
      <w:r w:rsidRPr="005F3825">
        <w:rPr>
          <w:rFonts w:ascii="Times New Roman" w:hAnsi="Times New Roman"/>
        </w:rPr>
        <w:t>prezenta</w:t>
      </w:r>
      <w:proofErr w:type="spellEnd"/>
      <w:r w:rsidRPr="005F3825">
        <w:rPr>
          <w:rFonts w:ascii="Times New Roman" w:hAnsi="Times New Roman"/>
        </w:rPr>
        <w:t xml:space="preserve"> </w:t>
      </w:r>
      <w:proofErr w:type="spellStart"/>
      <w:r w:rsidRPr="005F3825">
        <w:rPr>
          <w:rFonts w:ascii="Times New Roman" w:hAnsi="Times New Roman"/>
        </w:rPr>
        <w:t>metodologie</w:t>
      </w:r>
      <w:proofErr w:type="spellEnd"/>
      <w:r w:rsidRPr="005F3825">
        <w:rPr>
          <w:rFonts w:ascii="Times New Roman" w:hAnsi="Times New Roman"/>
        </w:rPr>
        <w:t xml:space="preserve">, </w:t>
      </w:r>
      <w:proofErr w:type="spellStart"/>
      <w:r w:rsidRPr="008E7CEE">
        <w:rPr>
          <w:rFonts w:ascii="Times New Roman" w:hAnsi="Times New Roman"/>
          <w:b/>
          <w:bCs/>
        </w:rPr>
        <w:t>conducătorii</w:t>
      </w:r>
      <w:proofErr w:type="spellEnd"/>
      <w:r w:rsidRPr="008E7CEE">
        <w:rPr>
          <w:rFonts w:ascii="Times New Roman" w:hAnsi="Times New Roman"/>
          <w:b/>
          <w:bCs/>
        </w:rPr>
        <w:t xml:space="preserve"> </w:t>
      </w:r>
      <w:proofErr w:type="spellStart"/>
      <w:r w:rsidRPr="008E7CEE">
        <w:rPr>
          <w:rFonts w:ascii="Times New Roman" w:hAnsi="Times New Roman"/>
          <w:b/>
          <w:bCs/>
        </w:rPr>
        <w:t>autorităţilor</w:t>
      </w:r>
      <w:proofErr w:type="spellEnd"/>
      <w:r w:rsidRPr="008E7CEE">
        <w:rPr>
          <w:rFonts w:ascii="Times New Roman" w:hAnsi="Times New Roman"/>
          <w:b/>
          <w:bCs/>
        </w:rPr>
        <w:t xml:space="preserve"> </w:t>
      </w:r>
      <w:proofErr w:type="spellStart"/>
      <w:r w:rsidRPr="008E7CEE">
        <w:rPr>
          <w:rFonts w:ascii="Times New Roman" w:hAnsi="Times New Roman"/>
          <w:b/>
          <w:bCs/>
        </w:rPr>
        <w:t>şi</w:t>
      </w:r>
      <w:proofErr w:type="spellEnd"/>
      <w:r w:rsidRPr="008E7CEE">
        <w:rPr>
          <w:rFonts w:ascii="Times New Roman" w:hAnsi="Times New Roman"/>
          <w:b/>
          <w:bCs/>
        </w:rPr>
        <w:t xml:space="preserve"> </w:t>
      </w:r>
      <w:proofErr w:type="spellStart"/>
      <w:r w:rsidRPr="008E7CEE">
        <w:rPr>
          <w:rFonts w:ascii="Times New Roman" w:hAnsi="Times New Roman"/>
          <w:b/>
          <w:bCs/>
        </w:rPr>
        <w:t>instituţiilor</w:t>
      </w:r>
      <w:proofErr w:type="spellEnd"/>
      <w:r w:rsidRPr="008E7CEE">
        <w:rPr>
          <w:rFonts w:ascii="Times New Roman" w:hAnsi="Times New Roman"/>
          <w:b/>
          <w:bCs/>
        </w:rPr>
        <w:t xml:space="preserve"> </w:t>
      </w:r>
      <w:proofErr w:type="spellStart"/>
      <w:r w:rsidRPr="008E7CEE">
        <w:rPr>
          <w:rFonts w:ascii="Times New Roman" w:hAnsi="Times New Roman"/>
          <w:b/>
          <w:bCs/>
        </w:rPr>
        <w:t>publice</w:t>
      </w:r>
      <w:proofErr w:type="spellEnd"/>
      <w:r w:rsidRPr="008E7CEE">
        <w:rPr>
          <w:rFonts w:ascii="Times New Roman" w:hAnsi="Times New Roman"/>
          <w:b/>
          <w:bCs/>
        </w:rPr>
        <w:t xml:space="preserve"> </w:t>
      </w:r>
      <w:proofErr w:type="spellStart"/>
      <w:r w:rsidRPr="008E7CEE">
        <w:rPr>
          <w:rFonts w:ascii="Times New Roman" w:hAnsi="Times New Roman"/>
          <w:b/>
          <w:bCs/>
        </w:rPr>
        <w:t>dispun</w:t>
      </w:r>
      <w:proofErr w:type="spellEnd"/>
      <w:r w:rsidRPr="008E7CEE">
        <w:rPr>
          <w:rFonts w:ascii="Times New Roman" w:hAnsi="Times New Roman"/>
          <w:b/>
          <w:bCs/>
        </w:rPr>
        <w:t xml:space="preserve">, </w:t>
      </w:r>
      <w:proofErr w:type="spellStart"/>
      <w:r w:rsidRPr="008E7CEE">
        <w:rPr>
          <w:rFonts w:ascii="Times New Roman" w:hAnsi="Times New Roman"/>
          <w:b/>
          <w:bCs/>
        </w:rPr>
        <w:t>prin</w:t>
      </w:r>
      <w:proofErr w:type="spellEnd"/>
      <w:r w:rsidRPr="008E7CEE">
        <w:rPr>
          <w:rFonts w:ascii="Times New Roman" w:hAnsi="Times New Roman"/>
          <w:b/>
          <w:bCs/>
        </w:rPr>
        <w:t xml:space="preserve"> </w:t>
      </w:r>
      <w:proofErr w:type="spellStart"/>
      <w:r w:rsidRPr="008E7CEE">
        <w:rPr>
          <w:rFonts w:ascii="Times New Roman" w:hAnsi="Times New Roman"/>
          <w:b/>
          <w:bCs/>
        </w:rPr>
        <w:t>decizie</w:t>
      </w:r>
      <w:proofErr w:type="spellEnd"/>
      <w:r w:rsidRPr="008E7CEE">
        <w:rPr>
          <w:rFonts w:ascii="Times New Roman" w:hAnsi="Times New Roman"/>
          <w:b/>
          <w:bCs/>
        </w:rPr>
        <w:t xml:space="preserve">, </w:t>
      </w:r>
      <w:proofErr w:type="spellStart"/>
      <w:r w:rsidRPr="008E7CEE">
        <w:rPr>
          <w:rFonts w:ascii="Times New Roman" w:hAnsi="Times New Roman"/>
          <w:b/>
          <w:bCs/>
        </w:rPr>
        <w:t>constituirea</w:t>
      </w:r>
      <w:proofErr w:type="spellEnd"/>
      <w:r w:rsidRPr="008E7CEE">
        <w:rPr>
          <w:rFonts w:ascii="Times New Roman" w:hAnsi="Times New Roman"/>
          <w:b/>
          <w:bCs/>
        </w:rPr>
        <w:t xml:space="preserve"> </w:t>
      </w:r>
      <w:proofErr w:type="spellStart"/>
      <w:r w:rsidRPr="008E7CEE">
        <w:rPr>
          <w:rFonts w:ascii="Times New Roman" w:hAnsi="Times New Roman"/>
          <w:b/>
          <w:bCs/>
        </w:rPr>
        <w:t>unui</w:t>
      </w:r>
      <w:proofErr w:type="spellEnd"/>
      <w:r w:rsidRPr="008E7CEE">
        <w:rPr>
          <w:rFonts w:ascii="Times New Roman" w:hAnsi="Times New Roman"/>
          <w:b/>
          <w:bCs/>
        </w:rPr>
        <w:t xml:space="preserve"> </w:t>
      </w:r>
      <w:proofErr w:type="spellStart"/>
      <w:r w:rsidRPr="008E7CEE">
        <w:rPr>
          <w:rFonts w:ascii="Times New Roman" w:hAnsi="Times New Roman"/>
          <w:b/>
          <w:bCs/>
          <w:u w:val="single"/>
        </w:rPr>
        <w:t>Grup</w:t>
      </w:r>
      <w:proofErr w:type="spellEnd"/>
      <w:r w:rsidRPr="008E7CEE">
        <w:rPr>
          <w:rFonts w:ascii="Times New Roman" w:hAnsi="Times New Roman"/>
          <w:b/>
          <w:bCs/>
          <w:u w:val="single"/>
        </w:rPr>
        <w:t xml:space="preserve"> de </w:t>
      </w:r>
      <w:proofErr w:type="spellStart"/>
      <w:r w:rsidRPr="008E7CEE">
        <w:rPr>
          <w:rFonts w:ascii="Times New Roman" w:hAnsi="Times New Roman"/>
          <w:b/>
          <w:bCs/>
          <w:u w:val="single"/>
        </w:rPr>
        <w:t>lucru</w:t>
      </w:r>
      <w:proofErr w:type="spellEnd"/>
      <w:r w:rsidRPr="008E7CEE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8E7CEE">
        <w:rPr>
          <w:rFonts w:ascii="Times New Roman" w:hAnsi="Times New Roman"/>
          <w:b/>
          <w:bCs/>
          <w:u w:val="single"/>
        </w:rPr>
        <w:t>pentru</w:t>
      </w:r>
      <w:proofErr w:type="spellEnd"/>
      <w:r w:rsidRPr="008E7CEE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8E7CEE">
        <w:rPr>
          <w:rFonts w:ascii="Times New Roman" w:hAnsi="Times New Roman"/>
          <w:b/>
          <w:bCs/>
          <w:u w:val="single"/>
        </w:rPr>
        <w:t>implementarea</w:t>
      </w:r>
      <w:proofErr w:type="spellEnd"/>
      <w:r w:rsidRPr="008E7CEE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8E7CEE">
        <w:rPr>
          <w:rFonts w:ascii="Times New Roman" w:hAnsi="Times New Roman"/>
          <w:b/>
          <w:bCs/>
          <w:u w:val="single"/>
        </w:rPr>
        <w:t>metodologiei</w:t>
      </w:r>
      <w:proofErr w:type="spellEnd"/>
      <w:r w:rsidRPr="008E7CEE">
        <w:rPr>
          <w:rFonts w:ascii="Times New Roman" w:hAnsi="Times New Roman"/>
          <w:b/>
          <w:bCs/>
        </w:rPr>
        <w:t>.</w:t>
      </w:r>
      <w:r w:rsidRPr="005F3825">
        <w:rPr>
          <w:rFonts w:ascii="Times New Roman" w:hAnsi="Times New Roman"/>
        </w:rPr>
        <w:t xml:space="preserve"> </w:t>
      </w:r>
      <w:r w:rsidRPr="005F3825">
        <w:rPr>
          <w:rFonts w:ascii="Times New Roman" w:eastAsia="Times New Roman" w:hAnsi="Times New Roman"/>
          <w:bCs/>
          <w:sz w:val="24"/>
          <w:szCs w:val="24"/>
          <w:lang w:val="ro-RO"/>
        </w:rPr>
        <w:t>Componenţa Grupului de lucru</w:t>
      </w:r>
      <w:r w:rsidRPr="005F3825">
        <w:rPr>
          <w:rFonts w:ascii="Times New Roman" w:eastAsia="Times New Roman" w:hAnsi="Times New Roman"/>
          <w:sz w:val="24"/>
          <w:szCs w:val="24"/>
          <w:lang w:val="ro-RO"/>
        </w:rPr>
        <w:t xml:space="preserve"> se stabileşte în funcţie de dimensiunea şi caracteristicile organizatorice ale autorităţilor/ instituţiilor publice. </w:t>
      </w:r>
    </w:p>
    <w:p w:rsidR="006C5309" w:rsidRPr="005F3825" w:rsidRDefault="006C5309" w:rsidP="006C5309">
      <w:pPr>
        <w:pStyle w:val="NormalWeb"/>
        <w:spacing w:after="0"/>
        <w:ind w:firstLine="360"/>
      </w:pPr>
      <w:r w:rsidRPr="005F3825">
        <w:t xml:space="preserve">Din </w:t>
      </w:r>
      <w:proofErr w:type="spellStart"/>
      <w:r w:rsidRPr="005F3825">
        <w:t>componenţa</w:t>
      </w:r>
      <w:proofErr w:type="spellEnd"/>
      <w:r w:rsidRPr="005F3825">
        <w:t xml:space="preserve"> </w:t>
      </w:r>
      <w:proofErr w:type="spellStart"/>
      <w:r w:rsidRPr="008E7CEE">
        <w:rPr>
          <w:b/>
          <w:bCs/>
        </w:rPr>
        <w:t>Grupului</w:t>
      </w:r>
      <w:proofErr w:type="spellEnd"/>
      <w:r w:rsidRPr="008E7CEE">
        <w:rPr>
          <w:b/>
          <w:bCs/>
        </w:rPr>
        <w:t xml:space="preserve"> de </w:t>
      </w:r>
      <w:proofErr w:type="spellStart"/>
      <w:r w:rsidRPr="008E7CEE">
        <w:rPr>
          <w:b/>
          <w:bCs/>
        </w:rPr>
        <w:t>lucru</w:t>
      </w:r>
      <w:proofErr w:type="spellEnd"/>
      <w:r w:rsidRPr="005F3825">
        <w:t xml:space="preserve"> </w:t>
      </w:r>
      <w:proofErr w:type="spellStart"/>
      <w:r w:rsidRPr="005F3825">
        <w:t>fac</w:t>
      </w:r>
      <w:proofErr w:type="spellEnd"/>
      <w:r w:rsidRPr="005F3825">
        <w:t xml:space="preserve"> </w:t>
      </w:r>
      <w:proofErr w:type="spellStart"/>
      <w:r w:rsidRPr="005F3825">
        <w:t>parte</w:t>
      </w:r>
      <w:proofErr w:type="spellEnd"/>
      <w:r w:rsidRPr="005F3825">
        <w:t>:</w:t>
      </w:r>
    </w:p>
    <w:p w:rsidR="006C5309" w:rsidRPr="005F3825" w:rsidRDefault="006C5309" w:rsidP="006C5309">
      <w:pPr>
        <w:pStyle w:val="NormalWeb"/>
        <w:spacing w:after="0"/>
      </w:pPr>
      <w:r w:rsidRPr="005F3825">
        <w:t> </w:t>
      </w:r>
      <w:r w:rsidRPr="005F3825">
        <w:t> </w:t>
      </w:r>
      <w:r w:rsidRPr="005F3825">
        <w:t xml:space="preserve">a) o </w:t>
      </w:r>
      <w:proofErr w:type="spellStart"/>
      <w:r w:rsidRPr="005F3825">
        <w:t>persoană</w:t>
      </w:r>
      <w:proofErr w:type="spellEnd"/>
      <w:r w:rsidRPr="005F3825">
        <w:t xml:space="preserve"> din </w:t>
      </w:r>
      <w:proofErr w:type="spellStart"/>
      <w:r w:rsidRPr="005F3825">
        <w:t>conducerea</w:t>
      </w:r>
      <w:proofErr w:type="spellEnd"/>
      <w:r w:rsidRPr="005F3825">
        <w:t xml:space="preserve"> </w:t>
      </w:r>
      <w:proofErr w:type="spellStart"/>
      <w:r w:rsidRPr="005F3825">
        <w:t>instituţiei</w:t>
      </w:r>
      <w:proofErr w:type="spellEnd"/>
      <w:r w:rsidRPr="005F3825">
        <w:t xml:space="preserve"> - </w:t>
      </w:r>
      <w:proofErr w:type="spellStart"/>
      <w:r w:rsidRPr="005F3825">
        <w:t>în</w:t>
      </w:r>
      <w:proofErr w:type="spellEnd"/>
      <w:r w:rsidRPr="005F3825">
        <w:t xml:space="preserve"> </w:t>
      </w:r>
      <w:proofErr w:type="spellStart"/>
      <w:r w:rsidRPr="005F3825">
        <w:t>calitate</w:t>
      </w:r>
      <w:proofErr w:type="spellEnd"/>
      <w:r w:rsidRPr="005F3825">
        <w:t xml:space="preserve"> de </w:t>
      </w:r>
      <w:proofErr w:type="spellStart"/>
      <w:r w:rsidRPr="005F3825">
        <w:t>şef</w:t>
      </w:r>
      <w:proofErr w:type="spellEnd"/>
      <w:r w:rsidRPr="005F3825">
        <w:t xml:space="preserve"> al </w:t>
      </w:r>
      <w:proofErr w:type="spellStart"/>
      <w:r w:rsidRPr="005F3825">
        <w:t>Grupului</w:t>
      </w:r>
      <w:proofErr w:type="spellEnd"/>
      <w:r w:rsidRPr="005F3825">
        <w:t xml:space="preserve"> de </w:t>
      </w:r>
      <w:proofErr w:type="spellStart"/>
      <w:r w:rsidRPr="005F3825">
        <w:t>lucru</w:t>
      </w:r>
      <w:proofErr w:type="spellEnd"/>
      <w:r w:rsidRPr="005F3825">
        <w:t>;</w:t>
      </w:r>
    </w:p>
    <w:p w:rsidR="006C5309" w:rsidRPr="005F3825" w:rsidRDefault="006C5309" w:rsidP="006C5309">
      <w:pPr>
        <w:pStyle w:val="NormalWeb"/>
        <w:spacing w:after="0"/>
      </w:pPr>
      <w:r w:rsidRPr="005F3825">
        <w:t> </w:t>
      </w:r>
      <w:r w:rsidRPr="005F3825">
        <w:t> </w:t>
      </w:r>
      <w:r w:rsidRPr="005F3825">
        <w:t xml:space="preserve">b) </w:t>
      </w:r>
      <w:proofErr w:type="spellStart"/>
      <w:r w:rsidRPr="005F3825">
        <w:t>conducătorii</w:t>
      </w:r>
      <w:proofErr w:type="spellEnd"/>
      <w:r w:rsidRPr="005F3825">
        <w:t xml:space="preserve"> </w:t>
      </w:r>
      <w:proofErr w:type="spellStart"/>
      <w:r w:rsidRPr="005F3825">
        <w:t>sau</w:t>
      </w:r>
      <w:proofErr w:type="spellEnd"/>
      <w:r w:rsidRPr="005F3825">
        <w:t xml:space="preserve"> </w:t>
      </w:r>
      <w:proofErr w:type="spellStart"/>
      <w:r w:rsidRPr="005F3825">
        <w:t>reprezentanţii</w:t>
      </w:r>
      <w:proofErr w:type="spellEnd"/>
      <w:r w:rsidRPr="005F3825">
        <w:t xml:space="preserve"> </w:t>
      </w:r>
      <w:proofErr w:type="spellStart"/>
      <w:r w:rsidRPr="005F3825">
        <w:t>structurilor</w:t>
      </w:r>
      <w:proofErr w:type="spellEnd"/>
      <w:r w:rsidRPr="005F3825">
        <w:t xml:space="preserve"> care se </w:t>
      </w:r>
      <w:proofErr w:type="spellStart"/>
      <w:r w:rsidRPr="005F3825">
        <w:t>ocupă</w:t>
      </w:r>
      <w:proofErr w:type="spellEnd"/>
      <w:r w:rsidRPr="005F3825">
        <w:t xml:space="preserve"> de </w:t>
      </w:r>
      <w:proofErr w:type="spellStart"/>
      <w:r w:rsidRPr="005F3825">
        <w:t>următoarele</w:t>
      </w:r>
      <w:proofErr w:type="spellEnd"/>
      <w:r w:rsidRPr="005F3825">
        <w:t xml:space="preserve"> </w:t>
      </w:r>
      <w:proofErr w:type="spellStart"/>
      <w:r w:rsidRPr="005F3825">
        <w:t>activităţi</w:t>
      </w:r>
      <w:proofErr w:type="spellEnd"/>
      <w:r w:rsidRPr="005F3825">
        <w:t xml:space="preserve">: </w:t>
      </w:r>
      <w:proofErr w:type="spellStart"/>
      <w:r w:rsidRPr="005F3825">
        <w:t>integritate</w:t>
      </w:r>
      <w:proofErr w:type="spellEnd"/>
      <w:r w:rsidRPr="005F3825">
        <w:t xml:space="preserve">, control intern, </w:t>
      </w:r>
      <w:proofErr w:type="spellStart"/>
      <w:r w:rsidRPr="005F3825">
        <w:t>răspundere</w:t>
      </w:r>
      <w:proofErr w:type="spellEnd"/>
      <w:r w:rsidRPr="005F3825">
        <w:t xml:space="preserve"> </w:t>
      </w:r>
      <w:proofErr w:type="spellStart"/>
      <w:r w:rsidRPr="005F3825">
        <w:t>disciplinară</w:t>
      </w:r>
      <w:proofErr w:type="spellEnd"/>
      <w:r w:rsidRPr="005F3825">
        <w:t xml:space="preserve">, audit intern, </w:t>
      </w:r>
      <w:proofErr w:type="spellStart"/>
      <w:r w:rsidRPr="005F3825">
        <w:t>resurse</w:t>
      </w:r>
      <w:proofErr w:type="spellEnd"/>
      <w:r w:rsidRPr="005F3825">
        <w:t xml:space="preserve"> </w:t>
      </w:r>
      <w:proofErr w:type="spellStart"/>
      <w:r w:rsidRPr="005F3825">
        <w:t>umane</w:t>
      </w:r>
      <w:proofErr w:type="spellEnd"/>
      <w:r w:rsidRPr="005F3825">
        <w:t xml:space="preserve">, control intern managerial, </w:t>
      </w:r>
      <w:proofErr w:type="spellStart"/>
      <w:r w:rsidRPr="005F3825">
        <w:t>achiziţii</w:t>
      </w:r>
      <w:proofErr w:type="spellEnd"/>
      <w:r w:rsidRPr="005F3825">
        <w:t xml:space="preserve"> </w:t>
      </w:r>
      <w:proofErr w:type="spellStart"/>
      <w:r w:rsidRPr="005F3825">
        <w:t>publice</w:t>
      </w:r>
      <w:proofErr w:type="spellEnd"/>
      <w:r w:rsidRPr="005F3825">
        <w:t xml:space="preserve">, </w:t>
      </w:r>
      <w:proofErr w:type="spellStart"/>
      <w:r w:rsidRPr="005F3825">
        <w:t>gestionarea</w:t>
      </w:r>
      <w:proofErr w:type="spellEnd"/>
      <w:r w:rsidRPr="005F3825">
        <w:t xml:space="preserve"> </w:t>
      </w:r>
      <w:proofErr w:type="spellStart"/>
      <w:r w:rsidRPr="005F3825">
        <w:t>mijloacelor</w:t>
      </w:r>
      <w:proofErr w:type="spellEnd"/>
      <w:r w:rsidRPr="005F3825">
        <w:t xml:space="preserve"> </w:t>
      </w:r>
      <w:proofErr w:type="spellStart"/>
      <w:r w:rsidRPr="005F3825">
        <w:t>financiare</w:t>
      </w:r>
      <w:proofErr w:type="spellEnd"/>
      <w:r w:rsidRPr="005F3825">
        <w:t xml:space="preserve"> - </w:t>
      </w:r>
      <w:proofErr w:type="spellStart"/>
      <w:r w:rsidRPr="005F3825">
        <w:t>în</w:t>
      </w:r>
      <w:proofErr w:type="spellEnd"/>
      <w:r w:rsidRPr="005F3825">
        <w:t xml:space="preserve"> </w:t>
      </w:r>
      <w:proofErr w:type="spellStart"/>
      <w:r w:rsidRPr="005F3825">
        <w:t>calitate</w:t>
      </w:r>
      <w:proofErr w:type="spellEnd"/>
      <w:r w:rsidRPr="005F3825">
        <w:t xml:space="preserve"> de </w:t>
      </w:r>
      <w:proofErr w:type="spellStart"/>
      <w:r w:rsidRPr="005F3825">
        <w:t>membri</w:t>
      </w:r>
      <w:proofErr w:type="spellEnd"/>
      <w:r w:rsidRPr="005F3825">
        <w:t xml:space="preserve"> ai </w:t>
      </w:r>
      <w:proofErr w:type="spellStart"/>
      <w:r w:rsidRPr="005F3825">
        <w:t>Grupului</w:t>
      </w:r>
      <w:proofErr w:type="spellEnd"/>
      <w:r w:rsidRPr="005F3825">
        <w:t xml:space="preserve"> de </w:t>
      </w:r>
      <w:proofErr w:type="spellStart"/>
      <w:r w:rsidRPr="005F3825">
        <w:t>lucru</w:t>
      </w:r>
      <w:proofErr w:type="spellEnd"/>
      <w:r w:rsidRPr="005F3825">
        <w:t>;</w:t>
      </w:r>
    </w:p>
    <w:p w:rsidR="006C5309" w:rsidRPr="005F3825" w:rsidRDefault="006C5309" w:rsidP="006C5309">
      <w:pPr>
        <w:pStyle w:val="NormalWeb"/>
        <w:spacing w:after="240"/>
      </w:pPr>
      <w:r w:rsidRPr="005F3825">
        <w:t> </w:t>
      </w:r>
      <w:r w:rsidRPr="005F3825">
        <w:t> </w:t>
      </w:r>
      <w:r w:rsidRPr="005F3825">
        <w:t xml:space="preserve">c) </w:t>
      </w:r>
      <w:proofErr w:type="spellStart"/>
      <w:r w:rsidRPr="005F3825">
        <w:t>consilierul</w:t>
      </w:r>
      <w:proofErr w:type="spellEnd"/>
      <w:r w:rsidRPr="005F3825">
        <w:t xml:space="preserve"> de </w:t>
      </w:r>
      <w:proofErr w:type="spellStart"/>
      <w:r w:rsidRPr="005F3825">
        <w:t>etică</w:t>
      </w:r>
      <w:proofErr w:type="spellEnd"/>
      <w:r w:rsidRPr="005F3825">
        <w:t xml:space="preserve"> </w:t>
      </w:r>
      <w:proofErr w:type="spellStart"/>
      <w:r w:rsidRPr="005F3825">
        <w:t>şi</w:t>
      </w:r>
      <w:proofErr w:type="spellEnd"/>
      <w:r w:rsidRPr="005F3825">
        <w:t xml:space="preserve">, </w:t>
      </w:r>
      <w:proofErr w:type="spellStart"/>
      <w:r w:rsidRPr="005F3825">
        <w:t>după</w:t>
      </w:r>
      <w:proofErr w:type="spellEnd"/>
      <w:r w:rsidRPr="005F3825">
        <w:t xml:space="preserve"> </w:t>
      </w:r>
      <w:proofErr w:type="spellStart"/>
      <w:r w:rsidRPr="005F3825">
        <w:t>caz</w:t>
      </w:r>
      <w:proofErr w:type="spellEnd"/>
      <w:r w:rsidRPr="005F3825">
        <w:t xml:space="preserve">, </w:t>
      </w:r>
      <w:proofErr w:type="spellStart"/>
      <w:r w:rsidRPr="005F3825">
        <w:t>consilierul</w:t>
      </w:r>
      <w:proofErr w:type="spellEnd"/>
      <w:r w:rsidRPr="005F3825">
        <w:t xml:space="preserve"> de </w:t>
      </w:r>
      <w:proofErr w:type="spellStart"/>
      <w:r w:rsidRPr="005F3825">
        <w:t>integritate</w:t>
      </w:r>
      <w:proofErr w:type="spellEnd"/>
      <w:r w:rsidRPr="005F3825">
        <w:t xml:space="preserve"> - </w:t>
      </w:r>
      <w:proofErr w:type="spellStart"/>
      <w:r w:rsidRPr="005F3825">
        <w:t>în</w:t>
      </w:r>
      <w:proofErr w:type="spellEnd"/>
      <w:r w:rsidRPr="005F3825">
        <w:t xml:space="preserve"> </w:t>
      </w:r>
      <w:proofErr w:type="spellStart"/>
      <w:r w:rsidRPr="005F3825">
        <w:t>calitate</w:t>
      </w:r>
      <w:proofErr w:type="spellEnd"/>
      <w:r w:rsidRPr="005F3825">
        <w:t xml:space="preserve"> de </w:t>
      </w:r>
      <w:proofErr w:type="spellStart"/>
      <w:r w:rsidRPr="005F3825">
        <w:t>membru</w:t>
      </w:r>
      <w:proofErr w:type="spellEnd"/>
      <w:r w:rsidRPr="005F3825">
        <w:t xml:space="preserve"> al </w:t>
      </w:r>
      <w:proofErr w:type="spellStart"/>
      <w:r w:rsidRPr="005F3825">
        <w:t>Grupului</w:t>
      </w:r>
      <w:proofErr w:type="spellEnd"/>
      <w:r w:rsidRPr="005F3825">
        <w:t xml:space="preserve"> de </w:t>
      </w:r>
      <w:proofErr w:type="spellStart"/>
      <w:r w:rsidRPr="005F3825">
        <w:t>lucru</w:t>
      </w:r>
      <w:proofErr w:type="spellEnd"/>
      <w:r w:rsidRPr="005F3825">
        <w:t>.</w:t>
      </w:r>
    </w:p>
    <w:p w:rsidR="006C5309" w:rsidRPr="005F3825" w:rsidRDefault="006C5309" w:rsidP="006C5309">
      <w:pPr>
        <w:pStyle w:val="NormalWeb"/>
        <w:spacing w:after="0"/>
        <w:ind w:firstLine="720"/>
      </w:pPr>
      <w:proofErr w:type="spellStart"/>
      <w:r w:rsidRPr="005F3825">
        <w:t>Prin</w:t>
      </w:r>
      <w:proofErr w:type="spellEnd"/>
      <w:r w:rsidRPr="005F3825">
        <w:t xml:space="preserve"> </w:t>
      </w:r>
      <w:proofErr w:type="spellStart"/>
      <w:r w:rsidRPr="005F3825">
        <w:t>actul</w:t>
      </w:r>
      <w:proofErr w:type="spellEnd"/>
      <w:r w:rsidRPr="005F3825">
        <w:t xml:space="preserve"> de </w:t>
      </w:r>
      <w:proofErr w:type="spellStart"/>
      <w:r w:rsidRPr="005F3825">
        <w:t>constituire</w:t>
      </w:r>
      <w:proofErr w:type="spellEnd"/>
      <w:r w:rsidRPr="005F3825">
        <w:t xml:space="preserve"> a </w:t>
      </w:r>
      <w:proofErr w:type="spellStart"/>
      <w:r w:rsidRPr="005F3825">
        <w:t>Grupului</w:t>
      </w:r>
      <w:proofErr w:type="spellEnd"/>
      <w:r w:rsidRPr="005F3825">
        <w:t xml:space="preserve"> de </w:t>
      </w:r>
      <w:proofErr w:type="spellStart"/>
      <w:r w:rsidRPr="005F3825">
        <w:t>lucru</w:t>
      </w:r>
      <w:proofErr w:type="spellEnd"/>
      <w:r w:rsidRPr="005F3825">
        <w:t xml:space="preserve"> se </w:t>
      </w:r>
      <w:proofErr w:type="spellStart"/>
      <w:r w:rsidRPr="005F3825">
        <w:t>desemnează</w:t>
      </w:r>
      <w:proofErr w:type="spellEnd"/>
      <w:r w:rsidRPr="005F3825">
        <w:t xml:space="preserve"> </w:t>
      </w:r>
      <w:proofErr w:type="spellStart"/>
      <w:r w:rsidRPr="005F3825">
        <w:t>şi</w:t>
      </w:r>
      <w:proofErr w:type="spellEnd"/>
      <w:r w:rsidRPr="005F3825">
        <w:t xml:space="preserve"> </w:t>
      </w:r>
      <w:proofErr w:type="spellStart"/>
      <w:r w:rsidRPr="005F3825">
        <w:t>secretarul</w:t>
      </w:r>
      <w:proofErr w:type="spellEnd"/>
      <w:r w:rsidRPr="005F3825">
        <w:t xml:space="preserve"> </w:t>
      </w:r>
      <w:proofErr w:type="spellStart"/>
      <w:r w:rsidRPr="005F3825">
        <w:t>acestuia</w:t>
      </w:r>
      <w:proofErr w:type="spellEnd"/>
      <w:r w:rsidRPr="005F3825">
        <w:t>.</w:t>
      </w:r>
    </w:p>
    <w:p w:rsidR="006C5309" w:rsidRPr="005F3825" w:rsidRDefault="006C5309" w:rsidP="006C5309">
      <w:pPr>
        <w:pStyle w:val="NormalWeb"/>
        <w:spacing w:after="240"/>
      </w:pPr>
      <w:r w:rsidRPr="005F3825">
        <w:lastRenderedPageBreak/>
        <w:tab/>
      </w:r>
      <w:proofErr w:type="spellStart"/>
      <w:r w:rsidRPr="005F3825">
        <w:t>Conducătorul</w:t>
      </w:r>
      <w:proofErr w:type="spellEnd"/>
      <w:r w:rsidRPr="005F3825">
        <w:t xml:space="preserve"> </w:t>
      </w:r>
      <w:proofErr w:type="spellStart"/>
      <w:r w:rsidRPr="005F3825">
        <w:t>instituţiei</w:t>
      </w:r>
      <w:proofErr w:type="spellEnd"/>
      <w:r w:rsidRPr="005F3825">
        <w:t xml:space="preserve"> </w:t>
      </w:r>
      <w:proofErr w:type="spellStart"/>
      <w:r w:rsidRPr="005F3825">
        <w:t>poate</w:t>
      </w:r>
      <w:proofErr w:type="spellEnd"/>
      <w:r w:rsidRPr="005F3825">
        <w:t xml:space="preserve"> </w:t>
      </w:r>
      <w:proofErr w:type="spellStart"/>
      <w:r w:rsidRPr="005F3825">
        <w:t>extinde</w:t>
      </w:r>
      <w:proofErr w:type="spellEnd"/>
      <w:r w:rsidRPr="005F3825">
        <w:t xml:space="preserve"> </w:t>
      </w:r>
      <w:proofErr w:type="spellStart"/>
      <w:r w:rsidRPr="005F3825">
        <w:t>componenţa</w:t>
      </w:r>
      <w:proofErr w:type="spellEnd"/>
      <w:r w:rsidRPr="005F3825">
        <w:t xml:space="preserve"> </w:t>
      </w:r>
      <w:proofErr w:type="spellStart"/>
      <w:r w:rsidRPr="005F3825">
        <w:t>Grupului</w:t>
      </w:r>
      <w:proofErr w:type="spellEnd"/>
      <w:r w:rsidRPr="005F3825">
        <w:t xml:space="preserve"> de </w:t>
      </w:r>
      <w:proofErr w:type="spellStart"/>
      <w:r w:rsidRPr="005F3825">
        <w:t>lucru</w:t>
      </w:r>
      <w:proofErr w:type="spellEnd"/>
      <w:r w:rsidRPr="005F3825">
        <w:t xml:space="preserve"> </w:t>
      </w:r>
      <w:proofErr w:type="spellStart"/>
      <w:r w:rsidRPr="005F3825">
        <w:t>şi</w:t>
      </w:r>
      <w:proofErr w:type="spellEnd"/>
      <w:r w:rsidRPr="005F3825">
        <w:t xml:space="preserve"> la </w:t>
      </w:r>
      <w:proofErr w:type="spellStart"/>
      <w:r w:rsidRPr="005F3825">
        <w:t>alte</w:t>
      </w:r>
      <w:proofErr w:type="spellEnd"/>
      <w:r w:rsidRPr="005F3825">
        <w:t xml:space="preserve"> </w:t>
      </w:r>
      <w:proofErr w:type="spellStart"/>
      <w:r w:rsidRPr="005F3825">
        <w:t>funcţii</w:t>
      </w:r>
      <w:proofErr w:type="spellEnd"/>
      <w:r w:rsidRPr="005F3825">
        <w:t xml:space="preserve"> pe care le </w:t>
      </w:r>
      <w:proofErr w:type="spellStart"/>
      <w:r w:rsidRPr="005F3825">
        <w:t>consideră</w:t>
      </w:r>
      <w:proofErr w:type="spellEnd"/>
      <w:r w:rsidRPr="005F3825">
        <w:t xml:space="preserve"> </w:t>
      </w:r>
      <w:proofErr w:type="spellStart"/>
      <w:r w:rsidRPr="005F3825">
        <w:t>relevante</w:t>
      </w:r>
      <w:proofErr w:type="spellEnd"/>
      <w:r w:rsidRPr="005F3825">
        <w:t xml:space="preserve"> </w:t>
      </w:r>
      <w:proofErr w:type="spellStart"/>
      <w:r w:rsidRPr="005F3825">
        <w:t>pentru</w:t>
      </w:r>
      <w:proofErr w:type="spellEnd"/>
      <w:r w:rsidRPr="005F3825">
        <w:t xml:space="preserve"> </w:t>
      </w:r>
      <w:proofErr w:type="spellStart"/>
      <w:r w:rsidRPr="005F3825">
        <w:t>realizarea</w:t>
      </w:r>
      <w:proofErr w:type="spellEnd"/>
      <w:r w:rsidRPr="005F3825">
        <w:t xml:space="preserve"> </w:t>
      </w:r>
      <w:proofErr w:type="spellStart"/>
      <w:r w:rsidRPr="005F3825">
        <w:t>activităţilor</w:t>
      </w:r>
      <w:proofErr w:type="spellEnd"/>
      <w:r w:rsidRPr="005F3825">
        <w:t xml:space="preserve"> </w:t>
      </w:r>
      <w:proofErr w:type="spellStart"/>
      <w:r w:rsidRPr="005F3825">
        <w:t>Grupului</w:t>
      </w:r>
      <w:proofErr w:type="spellEnd"/>
      <w:r w:rsidRPr="005F3825">
        <w:t xml:space="preserve"> de </w:t>
      </w:r>
      <w:proofErr w:type="spellStart"/>
      <w:r w:rsidRPr="005F3825">
        <w:t>lucru</w:t>
      </w:r>
      <w:proofErr w:type="spellEnd"/>
      <w:r w:rsidRPr="005F3825">
        <w:t>.</w:t>
      </w:r>
    </w:p>
    <w:p w:rsidR="006C5309" w:rsidRPr="005F3825" w:rsidRDefault="006C5309" w:rsidP="006C530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F382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În vederea implementării </w:t>
      </w:r>
      <w:r w:rsidRPr="005F382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Metodologiei standard</w:t>
      </w:r>
      <w:r w:rsidRPr="005F382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5F382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de </w:t>
      </w:r>
      <w:r w:rsidRPr="005F382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evaluare a riscurilor de corupţie</w:t>
      </w:r>
      <w:r w:rsidRPr="005F3825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5F382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se stabilesc următoarele </w:t>
      </w:r>
      <w:r w:rsidRPr="005F3825">
        <w:rPr>
          <w:rFonts w:ascii="Times New Roman" w:eastAsia="Times New Roman" w:hAnsi="Times New Roman"/>
          <w:sz w:val="24"/>
          <w:szCs w:val="24"/>
          <w:lang w:val="ro-RO"/>
        </w:rPr>
        <w:t>s</w:t>
      </w:r>
      <w:r w:rsidRPr="005F3825">
        <w:rPr>
          <w:rFonts w:ascii="Times New Roman" w:eastAsia="Times New Roman" w:hAnsi="Times New Roman"/>
          <w:b/>
          <w:sz w:val="24"/>
          <w:szCs w:val="24"/>
          <w:lang w:val="ro-RO"/>
        </w:rPr>
        <w:t>arcini, responsabilități,  termene:</w:t>
      </w:r>
    </w:p>
    <w:tbl>
      <w:tblPr>
        <w:tblW w:w="989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4"/>
        <w:gridCol w:w="1923"/>
        <w:gridCol w:w="1587"/>
      </w:tblGrid>
      <w:tr w:rsidR="006C5309" w:rsidRPr="00185AA9" w:rsidTr="006C5309">
        <w:trPr>
          <w:trHeight w:val="1218"/>
        </w:trPr>
        <w:tc>
          <w:tcPr>
            <w:tcW w:w="6384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 xml:space="preserve">Constituirea </w:t>
            </w:r>
            <w:r w:rsidRPr="008E7CEE">
              <w:rPr>
                <w:rFonts w:ascii="Times New Roman" w:hAnsi="Times New Roman"/>
                <w:b/>
                <w:bCs/>
                <w:lang w:val="ro-RO"/>
              </w:rPr>
              <w:t>Grupului de lucru</w:t>
            </w:r>
            <w:r w:rsidRPr="00185AA9">
              <w:rPr>
                <w:rFonts w:ascii="Times New Roman" w:hAnsi="Times New Roman"/>
                <w:lang w:val="ro-RO"/>
              </w:rPr>
              <w:t xml:space="preserve"> prin </w:t>
            </w:r>
            <w:r w:rsidRPr="008E7CEE">
              <w:rPr>
                <w:rFonts w:ascii="Times New Roman" w:hAnsi="Times New Roman"/>
                <w:b/>
                <w:bCs/>
                <w:lang w:val="ro-RO"/>
              </w:rPr>
              <w:t>Decizie internă</w:t>
            </w:r>
            <w:r w:rsidRPr="00185AA9">
              <w:rPr>
                <w:rFonts w:ascii="Times New Roman" w:hAnsi="Times New Roman"/>
                <w:lang w:val="ro-RO"/>
              </w:rPr>
              <w:t xml:space="preserve"> 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 xml:space="preserve">Numirea  </w:t>
            </w:r>
            <w:proofErr w:type="spellStart"/>
            <w:r w:rsidRPr="00185AA9">
              <w:rPr>
                <w:rFonts w:ascii="Times New Roman" w:hAnsi="Times New Roman"/>
              </w:rPr>
              <w:t>consilierului</w:t>
            </w:r>
            <w:proofErr w:type="spellEnd"/>
            <w:r w:rsidRPr="00185AA9">
              <w:rPr>
                <w:rFonts w:ascii="Times New Roman" w:hAnsi="Times New Roman"/>
              </w:rPr>
              <w:t xml:space="preserve"> de/</w:t>
            </w:r>
            <w:proofErr w:type="spellStart"/>
            <w:r w:rsidRPr="00185AA9">
              <w:rPr>
                <w:rFonts w:ascii="Times New Roman" w:hAnsi="Times New Roman"/>
              </w:rPr>
              <w:t>pentru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proofErr w:type="spellStart"/>
            <w:r w:rsidRPr="00185AA9">
              <w:rPr>
                <w:rFonts w:ascii="Times New Roman" w:hAnsi="Times New Roman"/>
              </w:rPr>
              <w:t>integritate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r w:rsidRPr="00185AA9">
              <w:rPr>
                <w:rFonts w:ascii="Times New Roman" w:hAnsi="Times New Roman"/>
                <w:lang w:val="ro-RO"/>
              </w:rPr>
              <w:t>prin Decizie internă</w:t>
            </w:r>
            <w:bookmarkStart w:id="0" w:name="_GoBack"/>
            <w:bookmarkEnd w:id="0"/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Conducătorul instituției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Până în 01.05.</w:t>
            </w:r>
            <w:r w:rsidR="008E7CEE">
              <w:rPr>
                <w:rFonts w:ascii="Times New Roman" w:hAnsi="Times New Roman"/>
                <w:sz w:val="20"/>
                <w:szCs w:val="20"/>
                <w:lang w:val="ro-RO"/>
              </w:rPr>
              <w:t>2020</w:t>
            </w:r>
          </w:p>
        </w:tc>
      </w:tr>
      <w:tr w:rsidR="006C5309" w:rsidRPr="00185AA9" w:rsidTr="006C5309">
        <w:trPr>
          <w:trHeight w:val="1705"/>
        </w:trPr>
        <w:tc>
          <w:tcPr>
            <w:tcW w:w="6384" w:type="dxa"/>
            <w:shd w:val="clear" w:color="auto" w:fill="auto"/>
          </w:tcPr>
          <w:p w:rsidR="008E7CEE" w:rsidRDefault="006C5309" w:rsidP="008E7CEE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 xml:space="preserve">Transmiterea </w:t>
            </w:r>
            <w:r w:rsidRPr="008E7CEE">
              <w:rPr>
                <w:rFonts w:ascii="Times New Roman" w:hAnsi="Times New Roman"/>
                <w:b/>
                <w:bCs/>
                <w:lang w:val="ro-RO"/>
              </w:rPr>
              <w:t>deciziei de numire a grupului de lucru</w:t>
            </w:r>
            <w:r w:rsidRPr="00185AA9">
              <w:rPr>
                <w:rFonts w:ascii="Times New Roman" w:hAnsi="Times New Roman"/>
                <w:lang w:val="ro-RO"/>
              </w:rPr>
              <w:t xml:space="preserve"> la Inspectoratul Școlar Județean </w:t>
            </w:r>
            <w:r w:rsidR="008E7CEE">
              <w:rPr>
                <w:rFonts w:ascii="Times New Roman" w:hAnsi="Times New Roman"/>
                <w:lang w:val="ro-RO"/>
              </w:rPr>
              <w:t>...............</w:t>
            </w:r>
          </w:p>
          <w:p w:rsidR="006C5309" w:rsidRPr="008E7CEE" w:rsidRDefault="006C5309" w:rsidP="008E7CEE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 xml:space="preserve">Transmiterea </w:t>
            </w:r>
            <w:r w:rsidRPr="008E7CEE">
              <w:rPr>
                <w:rFonts w:ascii="Times New Roman" w:hAnsi="Times New Roman"/>
                <w:b/>
                <w:bCs/>
                <w:lang w:val="ro-RO"/>
              </w:rPr>
              <w:t xml:space="preserve">deciziei de numire a </w:t>
            </w:r>
            <w:proofErr w:type="spellStart"/>
            <w:r w:rsidRPr="008E7CEE">
              <w:rPr>
                <w:rFonts w:ascii="Times New Roman" w:hAnsi="Times New Roman"/>
                <w:b/>
                <w:bCs/>
              </w:rPr>
              <w:t>consilierului</w:t>
            </w:r>
            <w:proofErr w:type="spellEnd"/>
            <w:r w:rsidRPr="008E7CEE">
              <w:rPr>
                <w:rFonts w:ascii="Times New Roman" w:hAnsi="Times New Roman"/>
                <w:b/>
                <w:bCs/>
              </w:rPr>
              <w:t xml:space="preserve"> de/</w:t>
            </w:r>
            <w:proofErr w:type="spellStart"/>
            <w:r w:rsidRPr="008E7CEE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  <w:r w:rsidRPr="008E7CE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E7CEE">
              <w:rPr>
                <w:rFonts w:ascii="Times New Roman" w:hAnsi="Times New Roman"/>
                <w:b/>
                <w:bCs/>
              </w:rPr>
              <w:t>integritate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r w:rsidRPr="00185AA9">
              <w:rPr>
                <w:rFonts w:ascii="Times New Roman" w:hAnsi="Times New Roman"/>
                <w:lang w:val="ro-RO"/>
              </w:rPr>
              <w:t xml:space="preserve">la Inspectoratul Școlar Județean </w:t>
            </w:r>
            <w:r w:rsidR="008E7CEE">
              <w:rPr>
                <w:rFonts w:ascii="Times New Roman" w:hAnsi="Times New Roman"/>
                <w:lang w:val="ro-RO"/>
              </w:rPr>
              <w:t>...............</w:t>
            </w:r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Conducătorul instituției 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Până în     01.05.</w:t>
            </w:r>
            <w:r w:rsidR="008E7CEE">
              <w:rPr>
                <w:rFonts w:ascii="Times New Roman" w:hAnsi="Times New Roman"/>
                <w:sz w:val="20"/>
                <w:szCs w:val="20"/>
                <w:lang w:val="ro-RO"/>
              </w:rPr>
              <w:t>2020</w:t>
            </w:r>
          </w:p>
        </w:tc>
      </w:tr>
      <w:tr w:rsidR="006C5309" w:rsidRPr="00185AA9" w:rsidTr="005F3825">
        <w:trPr>
          <w:trHeight w:val="1827"/>
        </w:trPr>
        <w:tc>
          <w:tcPr>
            <w:tcW w:w="6384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Îndeplinirea atribuţiilor ale Grupului de lucru:</w:t>
            </w:r>
          </w:p>
          <w:p w:rsidR="006C5309" w:rsidRPr="00185AA9" w:rsidRDefault="006C5309" w:rsidP="006C5309">
            <w:pPr>
              <w:pStyle w:val="Frspaiere"/>
              <w:ind w:left="720"/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identificarea şi descrierea riscurilor de corupţie;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5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evaluarea riscurilor de corupţie;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5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stabilirea măsurilor de intervenţie;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5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completarea Registrului riscurilor de corupţie;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5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monitorizarea şi revizuirea riscurilor de corupţie.</w:t>
            </w:r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Grupulde lucru,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cu sprijinul conducătorilor compartimentelor din structura organizatorică a instituţiei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Permanent</w:t>
            </w:r>
          </w:p>
        </w:tc>
      </w:tr>
      <w:tr w:rsidR="006C5309" w:rsidRPr="00185AA9" w:rsidTr="006C5309">
        <w:trPr>
          <w:trHeight w:val="936"/>
        </w:trPr>
        <w:tc>
          <w:tcPr>
            <w:tcW w:w="6384" w:type="dxa"/>
            <w:shd w:val="clear" w:color="auto" w:fill="auto"/>
          </w:tcPr>
          <w:p w:rsidR="006C5309" w:rsidRPr="003C29FD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b/>
                <w:lang w:val="ro-RO"/>
              </w:rPr>
            </w:pPr>
            <w:r w:rsidRPr="003C29FD">
              <w:rPr>
                <w:rFonts w:ascii="Times New Roman" w:hAnsi="Times New Roman"/>
                <w:b/>
                <w:lang w:val="ro-RO"/>
              </w:rPr>
              <w:t>Identificarea şi descrierea riscurilor de corupţie, având în vedere: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cazuistica incidentelor de integritate care au avut loc la nivelul instituţiei;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rapoartele de audit intern;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rapoarte ale Curţii de Conturi;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rapoarte ale autorităţilor de control;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chestionare aplicate persoanelor cu funcţii de conducere sau coordonare din cadrul instituţiei sau al structurilor subordonate, coordonate sau aflate sub autoritate</w:t>
            </w:r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Grupul de lucru,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cu sprijinul conducătorilor compartimentelor din structura organizatorică a instituţiei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Până în     01.05.</w:t>
            </w:r>
            <w:r w:rsidR="008E7CEE">
              <w:rPr>
                <w:rFonts w:ascii="Times New Roman" w:hAnsi="Times New Roman"/>
                <w:sz w:val="20"/>
                <w:szCs w:val="20"/>
                <w:lang w:val="ro-RO"/>
              </w:rPr>
              <w:t>2020</w:t>
            </w:r>
          </w:p>
        </w:tc>
      </w:tr>
      <w:tr w:rsidR="006C5309" w:rsidRPr="00185AA9" w:rsidTr="006C5309">
        <w:trPr>
          <w:trHeight w:val="256"/>
        </w:trPr>
        <w:tc>
          <w:tcPr>
            <w:tcW w:w="6384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Evaluarea riscurilor de corupţie: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estimarea probabilităţii de materializare a riscurilor de corupţie;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estimarea impactului;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determinarea expunerii la risc; 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clasificarea şi ordonarea riscurilor de corupţie;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determinarea priorităţii de intervenţie.</w:t>
            </w:r>
          </w:p>
        </w:tc>
        <w:tc>
          <w:tcPr>
            <w:tcW w:w="1923" w:type="dxa"/>
            <w:shd w:val="clear" w:color="auto" w:fill="auto"/>
          </w:tcPr>
          <w:p w:rsidR="006C530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2C1236" w:rsidRPr="00185AA9" w:rsidRDefault="002C1236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Grupul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de lucru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01.06.</w:t>
            </w:r>
            <w:r w:rsidR="008E7CEE">
              <w:rPr>
                <w:rFonts w:ascii="Times New Roman" w:hAnsi="Times New Roman"/>
                <w:sz w:val="20"/>
                <w:szCs w:val="20"/>
                <w:lang w:val="ro-RO"/>
              </w:rPr>
              <w:t>2020</w:t>
            </w:r>
          </w:p>
        </w:tc>
      </w:tr>
      <w:tr w:rsidR="006C5309" w:rsidRPr="00185AA9" w:rsidTr="006C5309">
        <w:trPr>
          <w:trHeight w:val="2071"/>
        </w:trPr>
        <w:tc>
          <w:tcPr>
            <w:tcW w:w="6384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3C29FD">
              <w:rPr>
                <w:rFonts w:ascii="Times New Roman" w:hAnsi="Times New Roman"/>
                <w:b/>
                <w:lang w:val="ro-RO"/>
              </w:rPr>
              <w:lastRenderedPageBreak/>
              <w:t>Stabilirea măsurilor de intervenţie</w:t>
            </w:r>
            <w:r w:rsidRPr="00185AA9">
              <w:rPr>
                <w:rFonts w:ascii="Times New Roman" w:hAnsi="Times New Roman"/>
                <w:lang w:val="ro-RO"/>
              </w:rPr>
              <w:t>, constând în: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</w:rPr>
            </w:pP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 xml:space="preserve">a) </w:t>
            </w:r>
            <w:proofErr w:type="spellStart"/>
            <w:r w:rsidRPr="00185AA9">
              <w:rPr>
                <w:rFonts w:ascii="Times New Roman" w:hAnsi="Times New Roman"/>
              </w:rPr>
              <w:t>formularea</w:t>
            </w:r>
            <w:proofErr w:type="spellEnd"/>
            <w:r w:rsidRPr="00185AA9">
              <w:rPr>
                <w:rFonts w:ascii="Times New Roman" w:hAnsi="Times New Roman"/>
              </w:rPr>
              <w:t xml:space="preserve"> de </w:t>
            </w:r>
            <w:proofErr w:type="spellStart"/>
            <w:r w:rsidRPr="00185AA9">
              <w:rPr>
                <w:rFonts w:ascii="Times New Roman" w:hAnsi="Times New Roman"/>
              </w:rPr>
              <w:t>propuneri</w:t>
            </w:r>
            <w:proofErr w:type="spellEnd"/>
            <w:r w:rsidRPr="00185AA9">
              <w:rPr>
                <w:rFonts w:ascii="Times New Roman" w:hAnsi="Times New Roman"/>
              </w:rPr>
              <w:t xml:space="preserve"> cu </w:t>
            </w:r>
            <w:proofErr w:type="spellStart"/>
            <w:r w:rsidRPr="00185AA9">
              <w:rPr>
                <w:rFonts w:ascii="Times New Roman" w:hAnsi="Times New Roman"/>
              </w:rPr>
              <w:t>privire</w:t>
            </w:r>
            <w:proofErr w:type="spellEnd"/>
            <w:r w:rsidRPr="00185AA9">
              <w:rPr>
                <w:rFonts w:ascii="Times New Roman" w:hAnsi="Times New Roman"/>
              </w:rPr>
              <w:t xml:space="preserve"> la </w:t>
            </w:r>
            <w:proofErr w:type="spellStart"/>
            <w:r w:rsidRPr="00185AA9">
              <w:rPr>
                <w:rFonts w:ascii="Times New Roman" w:hAnsi="Times New Roman"/>
              </w:rPr>
              <w:t>modificarea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proofErr w:type="spellStart"/>
            <w:r w:rsidRPr="00185AA9">
              <w:rPr>
                <w:rFonts w:ascii="Times New Roman" w:hAnsi="Times New Roman"/>
              </w:rPr>
              <w:t>legislaţiei</w:t>
            </w:r>
            <w:proofErr w:type="spellEnd"/>
            <w:r w:rsidRPr="00185AA9">
              <w:rPr>
                <w:rFonts w:ascii="Times New Roman" w:hAnsi="Times New Roman"/>
              </w:rPr>
              <w:t xml:space="preserve">; 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</w:rPr>
            </w:pP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 xml:space="preserve">b) </w:t>
            </w:r>
            <w:proofErr w:type="spellStart"/>
            <w:r w:rsidRPr="00185AA9">
              <w:rPr>
                <w:rFonts w:ascii="Times New Roman" w:hAnsi="Times New Roman"/>
              </w:rPr>
              <w:t>activităţi</w:t>
            </w:r>
            <w:proofErr w:type="spellEnd"/>
            <w:r w:rsidRPr="00185AA9">
              <w:rPr>
                <w:rFonts w:ascii="Times New Roman" w:hAnsi="Times New Roman"/>
              </w:rPr>
              <w:t xml:space="preserve"> de </w:t>
            </w:r>
            <w:proofErr w:type="spellStart"/>
            <w:r w:rsidRPr="00185AA9">
              <w:rPr>
                <w:rFonts w:ascii="Times New Roman" w:hAnsi="Times New Roman"/>
              </w:rPr>
              <w:t>instruire</w:t>
            </w:r>
            <w:proofErr w:type="spellEnd"/>
            <w:r w:rsidRPr="00185AA9">
              <w:rPr>
                <w:rFonts w:ascii="Times New Roman" w:hAnsi="Times New Roman"/>
              </w:rPr>
              <w:t xml:space="preserve">; 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</w:rPr>
            </w:pP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 xml:space="preserve">c) </w:t>
            </w:r>
            <w:proofErr w:type="spellStart"/>
            <w:r w:rsidRPr="00185AA9">
              <w:rPr>
                <w:rFonts w:ascii="Times New Roman" w:hAnsi="Times New Roman"/>
              </w:rPr>
              <w:t>dezvoltare</w:t>
            </w:r>
            <w:proofErr w:type="spellEnd"/>
            <w:r w:rsidRPr="00185AA9">
              <w:rPr>
                <w:rFonts w:ascii="Times New Roman" w:hAnsi="Times New Roman"/>
              </w:rPr>
              <w:t xml:space="preserve"> de </w:t>
            </w:r>
            <w:proofErr w:type="spellStart"/>
            <w:r w:rsidRPr="00185AA9">
              <w:rPr>
                <w:rFonts w:ascii="Times New Roman" w:hAnsi="Times New Roman"/>
              </w:rPr>
              <w:t>sisteme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proofErr w:type="spellStart"/>
            <w:r w:rsidRPr="00185AA9">
              <w:rPr>
                <w:rFonts w:ascii="Times New Roman" w:hAnsi="Times New Roman"/>
              </w:rPr>
              <w:t>informatice</w:t>
            </w:r>
            <w:proofErr w:type="spellEnd"/>
            <w:r w:rsidRPr="00185AA9">
              <w:rPr>
                <w:rFonts w:ascii="Times New Roman" w:hAnsi="Times New Roman"/>
              </w:rPr>
              <w:t xml:space="preserve">; 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</w:rPr>
            </w:pP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 xml:space="preserve">d) </w:t>
            </w:r>
            <w:proofErr w:type="spellStart"/>
            <w:r w:rsidRPr="00185AA9">
              <w:rPr>
                <w:rFonts w:ascii="Times New Roman" w:hAnsi="Times New Roman"/>
              </w:rPr>
              <w:t>elaborare</w:t>
            </w:r>
            <w:proofErr w:type="spellEnd"/>
            <w:r w:rsidRPr="00185AA9">
              <w:rPr>
                <w:rFonts w:ascii="Times New Roman" w:hAnsi="Times New Roman"/>
              </w:rPr>
              <w:t xml:space="preserve"> de </w:t>
            </w:r>
            <w:proofErr w:type="spellStart"/>
            <w:r w:rsidRPr="00185AA9">
              <w:rPr>
                <w:rFonts w:ascii="Times New Roman" w:hAnsi="Times New Roman"/>
              </w:rPr>
              <w:t>proceduri</w:t>
            </w:r>
            <w:proofErr w:type="spellEnd"/>
            <w:r w:rsidRPr="00185AA9">
              <w:rPr>
                <w:rFonts w:ascii="Times New Roman" w:hAnsi="Times New Roman"/>
              </w:rPr>
              <w:t xml:space="preserve"> de </w:t>
            </w:r>
            <w:proofErr w:type="spellStart"/>
            <w:r w:rsidRPr="00185AA9">
              <w:rPr>
                <w:rFonts w:ascii="Times New Roman" w:hAnsi="Times New Roman"/>
              </w:rPr>
              <w:t>lucru</w:t>
            </w:r>
            <w:proofErr w:type="spellEnd"/>
            <w:r w:rsidRPr="00185AA9">
              <w:rPr>
                <w:rFonts w:ascii="Times New Roman" w:hAnsi="Times New Roman"/>
              </w:rPr>
              <w:t xml:space="preserve">; 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</w:rPr>
            </w:pP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 xml:space="preserve">e) </w:t>
            </w:r>
            <w:proofErr w:type="spellStart"/>
            <w:r w:rsidRPr="00185AA9">
              <w:rPr>
                <w:rFonts w:ascii="Times New Roman" w:hAnsi="Times New Roman"/>
              </w:rPr>
              <w:t>planificarea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proofErr w:type="spellStart"/>
            <w:r w:rsidRPr="00185AA9">
              <w:rPr>
                <w:rFonts w:ascii="Times New Roman" w:hAnsi="Times New Roman"/>
              </w:rPr>
              <w:t>şi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proofErr w:type="spellStart"/>
            <w:r w:rsidRPr="00185AA9">
              <w:rPr>
                <w:rFonts w:ascii="Times New Roman" w:hAnsi="Times New Roman"/>
              </w:rPr>
              <w:t>derularea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proofErr w:type="spellStart"/>
            <w:r w:rsidRPr="00185AA9">
              <w:rPr>
                <w:rFonts w:ascii="Times New Roman" w:hAnsi="Times New Roman"/>
              </w:rPr>
              <w:t>periodică</w:t>
            </w:r>
            <w:proofErr w:type="spellEnd"/>
            <w:r w:rsidRPr="00185AA9">
              <w:rPr>
                <w:rFonts w:ascii="Times New Roman" w:hAnsi="Times New Roman"/>
              </w:rPr>
              <w:t xml:space="preserve"> a </w:t>
            </w:r>
            <w:proofErr w:type="spellStart"/>
            <w:r w:rsidRPr="00185AA9">
              <w:rPr>
                <w:rFonts w:ascii="Times New Roman" w:hAnsi="Times New Roman"/>
              </w:rPr>
              <w:t>unor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proofErr w:type="spellStart"/>
            <w:r w:rsidRPr="00185AA9">
              <w:rPr>
                <w:rFonts w:ascii="Times New Roman" w:hAnsi="Times New Roman"/>
              </w:rPr>
              <w:t>activităţi</w:t>
            </w:r>
            <w:proofErr w:type="spellEnd"/>
            <w:r w:rsidRPr="00185AA9">
              <w:rPr>
                <w:rFonts w:ascii="Times New Roman" w:hAnsi="Times New Roman"/>
              </w:rPr>
              <w:t xml:space="preserve"> de audit </w:t>
            </w:r>
            <w:proofErr w:type="spellStart"/>
            <w:r w:rsidRPr="00185AA9">
              <w:rPr>
                <w:rFonts w:ascii="Times New Roman" w:hAnsi="Times New Roman"/>
              </w:rPr>
              <w:t>şi</w:t>
            </w:r>
            <w:proofErr w:type="spellEnd"/>
            <w:r w:rsidRPr="00185AA9">
              <w:rPr>
                <w:rFonts w:ascii="Times New Roman" w:hAnsi="Times New Roman"/>
              </w:rPr>
              <w:t>/</w:t>
            </w:r>
            <w:proofErr w:type="spellStart"/>
            <w:r w:rsidRPr="00185AA9">
              <w:rPr>
                <w:rFonts w:ascii="Times New Roman" w:hAnsi="Times New Roman"/>
              </w:rPr>
              <w:t>sau</w:t>
            </w:r>
            <w:proofErr w:type="spellEnd"/>
            <w:r w:rsidRPr="00185AA9">
              <w:rPr>
                <w:rFonts w:ascii="Times New Roman" w:hAnsi="Times New Roman"/>
              </w:rPr>
              <w:t xml:space="preserve"> control </w:t>
            </w:r>
            <w:proofErr w:type="spellStart"/>
            <w:r w:rsidRPr="00185AA9">
              <w:rPr>
                <w:rFonts w:ascii="Times New Roman" w:hAnsi="Times New Roman"/>
              </w:rPr>
              <w:t>pentru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proofErr w:type="spellStart"/>
            <w:r w:rsidRPr="00185AA9">
              <w:rPr>
                <w:rFonts w:ascii="Times New Roman" w:hAnsi="Times New Roman"/>
              </w:rPr>
              <w:t>activităţile</w:t>
            </w:r>
            <w:proofErr w:type="spellEnd"/>
            <w:r w:rsidRPr="00185AA9">
              <w:rPr>
                <w:rFonts w:ascii="Times New Roman" w:hAnsi="Times New Roman"/>
              </w:rPr>
              <w:t xml:space="preserve"> considerate </w:t>
            </w:r>
            <w:proofErr w:type="spellStart"/>
            <w:r w:rsidRPr="00185AA9">
              <w:rPr>
                <w:rFonts w:ascii="Times New Roman" w:hAnsi="Times New Roman"/>
              </w:rPr>
              <w:t>vulnerabile</w:t>
            </w:r>
            <w:proofErr w:type="spellEnd"/>
            <w:r w:rsidRPr="00185AA9">
              <w:rPr>
                <w:rFonts w:ascii="Times New Roman" w:hAnsi="Times New Roman"/>
              </w:rPr>
              <w:t>;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</w:rPr>
            </w:pP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> </w:t>
            </w:r>
            <w:r w:rsidRPr="00185AA9">
              <w:rPr>
                <w:rFonts w:ascii="Times New Roman" w:hAnsi="Times New Roman"/>
              </w:rPr>
              <w:t xml:space="preserve">f) </w:t>
            </w:r>
            <w:proofErr w:type="spellStart"/>
            <w:r w:rsidRPr="00185AA9">
              <w:rPr>
                <w:rFonts w:ascii="Times New Roman" w:hAnsi="Times New Roman"/>
              </w:rPr>
              <w:t>rotaţia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proofErr w:type="spellStart"/>
            <w:r w:rsidRPr="00185AA9">
              <w:rPr>
                <w:rFonts w:ascii="Times New Roman" w:hAnsi="Times New Roman"/>
              </w:rPr>
              <w:t>personalului</w:t>
            </w:r>
            <w:proofErr w:type="spellEnd"/>
            <w:r w:rsidRPr="00185AA9">
              <w:rPr>
                <w:rFonts w:ascii="Times New Roman" w:hAnsi="Times New Roman"/>
              </w:rPr>
              <w:t>.</w:t>
            </w:r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2C1236" w:rsidRPr="00185AA9" w:rsidRDefault="002C1236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Grupul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de lucru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01.07.</w:t>
            </w:r>
            <w:r w:rsidR="008E7CEE">
              <w:rPr>
                <w:rFonts w:ascii="Times New Roman" w:hAnsi="Times New Roman"/>
                <w:sz w:val="20"/>
                <w:szCs w:val="20"/>
                <w:lang w:val="ro-RO"/>
              </w:rPr>
              <w:t>2020</w:t>
            </w:r>
          </w:p>
        </w:tc>
      </w:tr>
      <w:tr w:rsidR="006C5309" w:rsidRPr="00185AA9" w:rsidTr="006C5309">
        <w:trPr>
          <w:trHeight w:val="2416"/>
        </w:trPr>
        <w:tc>
          <w:tcPr>
            <w:tcW w:w="6384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3C29FD">
              <w:rPr>
                <w:rFonts w:ascii="Times New Roman" w:hAnsi="Times New Roman"/>
                <w:b/>
                <w:lang w:val="ro-RO"/>
              </w:rPr>
              <w:t xml:space="preserve">Completarea Registrului riscurilor de </w:t>
            </w:r>
            <w:proofErr w:type="spellStart"/>
            <w:r w:rsidRPr="003C29FD">
              <w:rPr>
                <w:rFonts w:ascii="Times New Roman" w:hAnsi="Times New Roman"/>
                <w:b/>
                <w:lang w:val="ro-RO"/>
              </w:rPr>
              <w:t>corupţie</w:t>
            </w:r>
            <w:proofErr w:type="spellEnd"/>
            <w:r w:rsidRPr="00185AA9">
              <w:rPr>
                <w:rFonts w:ascii="Times New Roman" w:hAnsi="Times New Roman"/>
                <w:lang w:val="ro-RO"/>
              </w:rPr>
              <w:t>, (</w:t>
            </w:r>
            <w:proofErr w:type="spellStart"/>
            <w:r w:rsidRPr="00185AA9">
              <w:rPr>
                <w:rFonts w:ascii="Times New Roman" w:hAnsi="Times New Roman"/>
              </w:rPr>
              <w:t>anexa</w:t>
            </w:r>
            <w:proofErr w:type="spellEnd"/>
            <w:r w:rsidRPr="00185AA9">
              <w:rPr>
                <w:rFonts w:ascii="Times New Roman" w:hAnsi="Times New Roman"/>
              </w:rPr>
              <w:t xml:space="preserve"> nr. 4 la </w:t>
            </w:r>
            <w:proofErr w:type="spellStart"/>
            <w:r w:rsidRPr="00185AA9">
              <w:rPr>
                <w:rFonts w:ascii="Times New Roman" w:hAnsi="Times New Roman"/>
              </w:rPr>
              <w:t>hotărâre</w:t>
            </w:r>
            <w:proofErr w:type="spellEnd"/>
            <w:r w:rsidRPr="00185AA9">
              <w:rPr>
                <w:rFonts w:ascii="Times New Roman" w:hAnsi="Times New Roman"/>
                <w:lang w:val="ro-RO"/>
              </w:rPr>
              <w:t>), cuprinzând: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20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domeniul de activitate;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20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descrierea riscului;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20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probabilitatea, impactul şi expunerea la riscul de corupţie;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20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măsurile de intervenţie;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20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termenul de implementare;</w:t>
            </w:r>
          </w:p>
          <w:p w:rsidR="006C5309" w:rsidRPr="00185AA9" w:rsidRDefault="006C5309" w:rsidP="006C5309">
            <w:pPr>
              <w:pStyle w:val="Frspaiere"/>
              <w:numPr>
                <w:ilvl w:val="0"/>
                <w:numId w:val="20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responsabilul de risc.</w:t>
            </w:r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2C1236" w:rsidRPr="00185AA9" w:rsidRDefault="002C1236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Grupul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de lucru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01.08.</w:t>
            </w:r>
            <w:r w:rsidR="008E7CEE">
              <w:rPr>
                <w:rFonts w:ascii="Times New Roman" w:hAnsi="Times New Roman"/>
                <w:sz w:val="20"/>
                <w:szCs w:val="20"/>
                <w:lang w:val="ro-RO"/>
              </w:rPr>
              <w:t>2020</w:t>
            </w:r>
          </w:p>
        </w:tc>
      </w:tr>
      <w:tr w:rsidR="006C5309" w:rsidRPr="00185AA9" w:rsidTr="006C5309">
        <w:trPr>
          <w:trHeight w:val="638"/>
        </w:trPr>
        <w:tc>
          <w:tcPr>
            <w:tcW w:w="6384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Monitorizarea şi revizuirea riscurilor de corupţie</w:t>
            </w:r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Grupul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de lucru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Permanent</w:t>
            </w:r>
          </w:p>
        </w:tc>
      </w:tr>
      <w:tr w:rsidR="006C5309" w:rsidRPr="00185AA9" w:rsidTr="006C5309">
        <w:trPr>
          <w:trHeight w:val="337"/>
        </w:trPr>
        <w:tc>
          <w:tcPr>
            <w:tcW w:w="6384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 xml:space="preserve">Întocmirea </w:t>
            </w:r>
            <w:r w:rsidRPr="008E7CEE">
              <w:rPr>
                <w:rFonts w:ascii="Times New Roman" w:hAnsi="Times New Roman"/>
                <w:b/>
                <w:bCs/>
                <w:lang w:val="ro-RO"/>
              </w:rPr>
              <w:t>Planului de integritate</w:t>
            </w:r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Grupul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de lucru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01.09.</w:t>
            </w:r>
            <w:r w:rsidR="008E7CEE">
              <w:rPr>
                <w:rFonts w:ascii="Times New Roman" w:hAnsi="Times New Roman"/>
                <w:sz w:val="20"/>
                <w:szCs w:val="20"/>
                <w:lang w:val="ro-RO"/>
              </w:rPr>
              <w:t>2020</w:t>
            </w:r>
          </w:p>
        </w:tc>
      </w:tr>
      <w:tr w:rsidR="006C5309" w:rsidRPr="00185AA9" w:rsidTr="006C5309">
        <w:trPr>
          <w:trHeight w:val="661"/>
        </w:trPr>
        <w:tc>
          <w:tcPr>
            <w:tcW w:w="6384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 xml:space="preserve">Transmiterea </w:t>
            </w:r>
            <w:r w:rsidRPr="008E7CEE">
              <w:rPr>
                <w:rFonts w:ascii="Times New Roman" w:hAnsi="Times New Roman"/>
                <w:b/>
                <w:bCs/>
                <w:lang w:val="ro-RO"/>
              </w:rPr>
              <w:t>Planului de integritate</w:t>
            </w:r>
            <w:r w:rsidRPr="00185AA9">
              <w:rPr>
                <w:rFonts w:ascii="Times New Roman" w:hAnsi="Times New Roman"/>
                <w:lang w:val="ro-RO"/>
              </w:rPr>
              <w:t xml:space="preserve"> la  Inspectoratul Școlar Județean </w:t>
            </w:r>
            <w:r w:rsidR="008E7CEE">
              <w:rPr>
                <w:rFonts w:ascii="Times New Roman" w:hAnsi="Times New Roman"/>
                <w:lang w:val="ro-RO"/>
              </w:rPr>
              <w:t>...............</w:t>
            </w:r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Grupul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de lucru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15.09.</w:t>
            </w:r>
            <w:r w:rsidR="008E7CEE">
              <w:rPr>
                <w:rFonts w:ascii="Times New Roman" w:hAnsi="Times New Roman"/>
                <w:sz w:val="20"/>
                <w:szCs w:val="20"/>
                <w:lang w:val="ro-RO"/>
              </w:rPr>
              <w:t>2020</w:t>
            </w:r>
          </w:p>
        </w:tc>
      </w:tr>
      <w:tr w:rsidR="006C5309" w:rsidRPr="00185AA9" w:rsidTr="006C5309">
        <w:trPr>
          <w:trHeight w:val="661"/>
        </w:trPr>
        <w:tc>
          <w:tcPr>
            <w:tcW w:w="6384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r w:rsidRPr="00185AA9">
              <w:rPr>
                <w:rFonts w:ascii="Times New Roman" w:hAnsi="Times New Roman"/>
                <w:lang w:val="ro-RO"/>
              </w:rPr>
              <w:t>Arhivarea documentaţiei privind implementarea metodologiei</w:t>
            </w:r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Secretarul Grupului</w:t>
            </w:r>
            <w:r w:rsidR="005F3825" w:rsidRPr="00185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de lucru 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Permanent</w:t>
            </w:r>
          </w:p>
        </w:tc>
      </w:tr>
      <w:tr w:rsidR="006C5309" w:rsidRPr="00185AA9" w:rsidTr="006C5309">
        <w:trPr>
          <w:trHeight w:val="661"/>
        </w:trPr>
        <w:tc>
          <w:tcPr>
            <w:tcW w:w="6384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  <w:lang w:val="ro-RO"/>
              </w:rPr>
            </w:pPr>
            <w:proofErr w:type="spellStart"/>
            <w:r w:rsidRPr="00185AA9">
              <w:rPr>
                <w:rFonts w:ascii="Times New Roman" w:hAnsi="Times New Roman"/>
              </w:rPr>
              <w:t>Evaluarea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proofErr w:type="spellStart"/>
            <w:r w:rsidRPr="00185AA9">
              <w:rPr>
                <w:rFonts w:ascii="Times New Roman" w:hAnsi="Times New Roman"/>
              </w:rPr>
              <w:t>activităţii</w:t>
            </w:r>
            <w:proofErr w:type="spellEnd"/>
            <w:r w:rsidRPr="00185AA9">
              <w:rPr>
                <w:rFonts w:ascii="Times New Roman" w:hAnsi="Times New Roman"/>
              </w:rPr>
              <w:t xml:space="preserve"> de </w:t>
            </w:r>
            <w:proofErr w:type="spellStart"/>
            <w:r w:rsidRPr="00185AA9">
              <w:rPr>
                <w:rFonts w:ascii="Times New Roman" w:hAnsi="Times New Roman"/>
              </w:rPr>
              <w:t>implementare</w:t>
            </w:r>
            <w:proofErr w:type="spellEnd"/>
            <w:r w:rsidRPr="00185AA9">
              <w:rPr>
                <w:rFonts w:ascii="Times New Roman" w:hAnsi="Times New Roman"/>
              </w:rPr>
              <w:t xml:space="preserve"> a </w:t>
            </w:r>
            <w:proofErr w:type="spellStart"/>
            <w:r w:rsidRPr="00185AA9">
              <w:rPr>
                <w:rFonts w:ascii="Times New Roman" w:hAnsi="Times New Roman"/>
              </w:rPr>
              <w:t>metodologiei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Conducătorul instituției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Reprezentanții Inspectoratului Școlar Județean </w:t>
            </w:r>
            <w:r w:rsidR="008E7CEE">
              <w:rPr>
                <w:rFonts w:ascii="Times New Roman" w:hAnsi="Times New Roman"/>
                <w:sz w:val="20"/>
                <w:szCs w:val="20"/>
                <w:lang w:val="ro-RO"/>
              </w:rPr>
              <w:t>...............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Semestrial</w:t>
            </w:r>
          </w:p>
        </w:tc>
      </w:tr>
      <w:tr w:rsidR="006C5309" w:rsidRPr="00185AA9" w:rsidTr="006C5309">
        <w:trPr>
          <w:trHeight w:val="661"/>
        </w:trPr>
        <w:tc>
          <w:tcPr>
            <w:tcW w:w="6384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185AA9">
              <w:rPr>
                <w:rFonts w:ascii="Times New Roman" w:hAnsi="Times New Roman"/>
              </w:rPr>
              <w:t>Revizuirea</w:t>
            </w:r>
            <w:proofErr w:type="spellEnd"/>
            <w:r w:rsidRPr="00185AA9">
              <w:rPr>
                <w:rFonts w:ascii="Times New Roman" w:hAnsi="Times New Roman"/>
              </w:rPr>
              <w:t xml:space="preserve"> </w:t>
            </w:r>
            <w:proofErr w:type="spellStart"/>
            <w:r w:rsidRPr="00185AA9">
              <w:rPr>
                <w:rFonts w:ascii="Times New Roman" w:hAnsi="Times New Roman"/>
              </w:rPr>
              <w:t>activităţii</w:t>
            </w:r>
            <w:proofErr w:type="spellEnd"/>
            <w:r w:rsidRPr="00185AA9">
              <w:rPr>
                <w:rFonts w:ascii="Times New Roman" w:hAnsi="Times New Roman"/>
              </w:rPr>
              <w:t xml:space="preserve"> de </w:t>
            </w:r>
            <w:proofErr w:type="spellStart"/>
            <w:r w:rsidRPr="00185AA9">
              <w:rPr>
                <w:rFonts w:ascii="Times New Roman" w:hAnsi="Times New Roman"/>
              </w:rPr>
              <w:t>implementare</w:t>
            </w:r>
            <w:proofErr w:type="spellEnd"/>
            <w:r w:rsidRPr="00185AA9">
              <w:rPr>
                <w:rFonts w:ascii="Times New Roman" w:hAnsi="Times New Roman"/>
              </w:rPr>
              <w:t xml:space="preserve"> a </w:t>
            </w:r>
            <w:proofErr w:type="spellStart"/>
            <w:r w:rsidRPr="00185AA9">
              <w:rPr>
                <w:rFonts w:ascii="Times New Roman" w:hAnsi="Times New Roman"/>
              </w:rPr>
              <w:t>metodologiei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Grupul</w:t>
            </w:r>
          </w:p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de lucru</w:t>
            </w:r>
          </w:p>
        </w:tc>
        <w:tc>
          <w:tcPr>
            <w:tcW w:w="1587" w:type="dxa"/>
            <w:shd w:val="clear" w:color="auto" w:fill="auto"/>
          </w:tcPr>
          <w:p w:rsidR="006C5309" w:rsidRPr="00185AA9" w:rsidRDefault="006C5309" w:rsidP="006C530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85AA9">
              <w:rPr>
                <w:rFonts w:ascii="Times New Roman" w:hAnsi="Times New Roman"/>
                <w:sz w:val="20"/>
                <w:szCs w:val="20"/>
                <w:lang w:val="ro-RO"/>
              </w:rPr>
              <w:t>Permanent</w:t>
            </w:r>
          </w:p>
        </w:tc>
      </w:tr>
    </w:tbl>
    <w:p w:rsidR="006C5309" w:rsidRPr="005F3825" w:rsidRDefault="006C5309" w:rsidP="006C5309">
      <w:pPr>
        <w:tabs>
          <w:tab w:val="left" w:pos="643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F3825">
        <w:rPr>
          <w:rFonts w:ascii="Times New Roman" w:hAnsi="Times New Roman"/>
          <w:b/>
          <w:bCs/>
          <w:sz w:val="24"/>
          <w:szCs w:val="24"/>
          <w:lang w:val="ro-RO"/>
        </w:rPr>
        <w:t>Anexe</w:t>
      </w:r>
      <w:r w:rsidRPr="005F3825">
        <w:rPr>
          <w:rFonts w:ascii="Times New Roman" w:hAnsi="Times New Roman"/>
          <w:bCs/>
          <w:sz w:val="24"/>
          <w:szCs w:val="24"/>
          <w:lang w:val="ro-RO"/>
        </w:rPr>
        <w:t>: Anexele 2, 3, 4  la metodologie</w:t>
      </w:r>
      <w:r w:rsidR="005F3825">
        <w:rPr>
          <w:rFonts w:ascii="Times New Roman" w:hAnsi="Times New Roman"/>
          <w:bCs/>
          <w:sz w:val="24"/>
          <w:szCs w:val="24"/>
          <w:lang w:val="ro-RO"/>
        </w:rPr>
        <w:t>-se transmit in format editabil</w:t>
      </w:r>
      <w:r w:rsidRPr="005F3825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6C5309" w:rsidRPr="005F3825" w:rsidRDefault="006C5309" w:rsidP="006C5309">
      <w:pPr>
        <w:tabs>
          <w:tab w:val="left" w:pos="6430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F3825">
        <w:rPr>
          <w:rFonts w:ascii="Times New Roman" w:hAnsi="Times New Roman"/>
          <w:b/>
          <w:bCs/>
          <w:sz w:val="24"/>
          <w:szCs w:val="24"/>
          <w:lang w:val="ro-RO"/>
        </w:rPr>
        <w:t>INSPECTOR ȘCOLAR GENERAL,</w:t>
      </w:r>
    </w:p>
    <w:p w:rsidR="006C5309" w:rsidRPr="005F3825" w:rsidRDefault="008E7CEE" w:rsidP="006C5309">
      <w:pPr>
        <w:tabs>
          <w:tab w:val="left" w:pos="6430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...............</w:t>
      </w:r>
    </w:p>
    <w:p w:rsidR="006C5309" w:rsidRPr="005F3825" w:rsidRDefault="006C5309" w:rsidP="006C5309">
      <w:pPr>
        <w:spacing w:line="240" w:lineRule="exact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6C5309" w:rsidRPr="005F3825" w:rsidRDefault="006C5309" w:rsidP="006C5309">
      <w:pPr>
        <w:spacing w:line="240" w:lineRule="exact"/>
        <w:jc w:val="right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6C5309" w:rsidRPr="005F3825" w:rsidRDefault="008E7CEE" w:rsidP="006C5309">
      <w:pPr>
        <w:spacing w:line="240" w:lineRule="exact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....................</w:t>
      </w:r>
    </w:p>
    <w:p w:rsidR="008E7CEE" w:rsidRDefault="008E7CEE" w:rsidP="006C530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C5309" w:rsidRPr="005F3825" w:rsidRDefault="006C5309" w:rsidP="006C530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ro-RO"/>
        </w:rPr>
      </w:pPr>
      <w:r w:rsidRPr="005F3825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Anexe:</w:t>
      </w:r>
    </w:p>
    <w:p w:rsidR="006C5309" w:rsidRPr="005F3825" w:rsidRDefault="006C5309" w:rsidP="006C5309">
      <w:pPr>
        <w:shd w:val="clear" w:color="auto" w:fill="F7F7F7"/>
        <w:jc w:val="right"/>
        <w:rPr>
          <w:rFonts w:ascii="Times New Roman" w:eastAsia="Times New Roman" w:hAnsi="Times New Roman"/>
          <w:sz w:val="24"/>
          <w:szCs w:val="24"/>
        </w:rPr>
      </w:pPr>
      <w:r w:rsidRPr="005F382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ANEXA Nr. 2</w:t>
      </w:r>
      <w:r w:rsidRPr="005F3825">
        <w:rPr>
          <w:rFonts w:ascii="Times New Roman" w:eastAsia="Times New Roman" w:hAnsi="Times New Roman"/>
          <w:sz w:val="24"/>
          <w:szCs w:val="24"/>
        </w:rPr>
        <w:t>  </w:t>
      </w:r>
    </w:p>
    <w:p w:rsidR="006C5309" w:rsidRPr="003C29FD" w:rsidRDefault="006C5309" w:rsidP="006C5309">
      <w:pPr>
        <w:shd w:val="clear" w:color="auto" w:fill="F7F7F7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3C29FD">
        <w:rPr>
          <w:rFonts w:ascii="Times New Roman" w:eastAsia="Times New Roman" w:hAnsi="Times New Roman"/>
          <w:b/>
          <w:sz w:val="24"/>
          <w:szCs w:val="24"/>
        </w:rPr>
        <w:t>Indicatorii</w:t>
      </w:r>
      <w:proofErr w:type="spellEnd"/>
      <w:r w:rsidRPr="003C29FD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3C29FD">
        <w:rPr>
          <w:rFonts w:ascii="Times New Roman" w:eastAsia="Times New Roman" w:hAnsi="Times New Roman"/>
          <w:b/>
          <w:sz w:val="24"/>
          <w:szCs w:val="24"/>
        </w:rPr>
        <w:t>estimare</w:t>
      </w:r>
      <w:proofErr w:type="spellEnd"/>
      <w:r w:rsidRPr="003C29FD">
        <w:rPr>
          <w:rFonts w:ascii="Times New Roman" w:eastAsia="Times New Roman" w:hAnsi="Times New Roman"/>
          <w:b/>
          <w:sz w:val="24"/>
          <w:szCs w:val="24"/>
        </w:rPr>
        <w:t xml:space="preserve"> a </w:t>
      </w:r>
      <w:proofErr w:type="spellStart"/>
      <w:r w:rsidRPr="003C29FD">
        <w:rPr>
          <w:rFonts w:ascii="Times New Roman" w:eastAsia="Times New Roman" w:hAnsi="Times New Roman"/>
          <w:b/>
          <w:sz w:val="24"/>
          <w:szCs w:val="24"/>
        </w:rPr>
        <w:t>probabilității</w:t>
      </w:r>
      <w:proofErr w:type="spellEnd"/>
      <w:r w:rsidRPr="003C29FD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3C29FD">
        <w:rPr>
          <w:rFonts w:ascii="Times New Roman" w:eastAsia="Times New Roman" w:hAnsi="Times New Roman"/>
          <w:b/>
          <w:sz w:val="24"/>
          <w:szCs w:val="24"/>
        </w:rPr>
        <w:t>materializare</w:t>
      </w:r>
      <w:proofErr w:type="spellEnd"/>
      <w:r w:rsidRPr="003C29FD">
        <w:rPr>
          <w:rFonts w:ascii="Times New Roman" w:eastAsia="Times New Roman" w:hAnsi="Times New Roman"/>
          <w:b/>
          <w:sz w:val="24"/>
          <w:szCs w:val="24"/>
        </w:rPr>
        <w:t xml:space="preserve"> a </w:t>
      </w:r>
      <w:proofErr w:type="spellStart"/>
      <w:r w:rsidRPr="003C29FD">
        <w:rPr>
          <w:rFonts w:ascii="Times New Roman" w:eastAsia="Times New Roman" w:hAnsi="Times New Roman"/>
          <w:b/>
          <w:sz w:val="24"/>
          <w:szCs w:val="24"/>
        </w:rPr>
        <w:t>riscurilor</w:t>
      </w:r>
      <w:proofErr w:type="spellEnd"/>
      <w:r w:rsidRPr="003C29FD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3C29FD">
        <w:rPr>
          <w:rFonts w:ascii="Times New Roman" w:eastAsia="Times New Roman" w:hAnsi="Times New Roman"/>
          <w:b/>
          <w:sz w:val="24"/>
          <w:szCs w:val="24"/>
        </w:rPr>
        <w:t>corupție</w:t>
      </w:r>
      <w:proofErr w:type="spellEnd"/>
      <w:r w:rsidRPr="003C29FD">
        <w:rPr>
          <w:rFonts w:ascii="Times New Roman" w:eastAsia="Times New Roman" w:hAnsi="Times New Roman"/>
          <w:b/>
          <w:sz w:val="24"/>
          <w:szCs w:val="24"/>
        </w:rPr>
        <w:t> </w:t>
      </w:r>
    </w:p>
    <w:tbl>
      <w:tblPr>
        <w:tblW w:w="93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399"/>
        <w:gridCol w:w="1519"/>
        <w:gridCol w:w="3549"/>
        <w:gridCol w:w="2909"/>
      </w:tblGrid>
      <w:tr w:rsidR="006C5309" w:rsidRPr="005F3825" w:rsidTr="00366CC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309" w:rsidRPr="005F3825" w:rsidTr="00366CC1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Nivelul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probabilității</w:t>
            </w:r>
            <w:proofErr w:type="spellEnd"/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Descriere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Indicatori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Factori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favorizanți</w:t>
            </w:r>
            <w:proofErr w:type="spellEnd"/>
          </w:p>
        </w:tc>
      </w:tr>
      <w:tr w:rsidR="006C5309" w:rsidRPr="005F3825" w:rsidTr="00366CC1">
        <w:trPr>
          <w:trHeight w:val="39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1 -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scăzută</w:t>
            </w:r>
            <w:proofErr w:type="spellEnd"/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Amenințarea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corupție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este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foarte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puțin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probabil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manifeste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- Nu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există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cazuri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anterioare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propria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nici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alte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domenii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similare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>NOT Ă: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Evaluarea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istorică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cazurilor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limita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datele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existente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înființarea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acesteia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organizarea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reorganizarea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actuala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organigramă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având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bază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actuala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reglementare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dacă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aceste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detalii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sunt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relevante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Sunt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prezenți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maximum 3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factori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favorizanți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probleme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natură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legislativă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lacune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legislative,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norme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neclare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imprevizibile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reglementarea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unor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excepții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ridică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probleme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interpretare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aplicare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flexibilitate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interpretarea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subiectivă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2. capacitate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limitată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verificare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gram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desfășurate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particularități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culturii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organizaționale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acceptarea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avantaje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materiale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respectiv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toleranța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unor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astfel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comportamente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4.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existența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unor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surse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amenințare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presiune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asupra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personalului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5.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contacte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frecvente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exteriorul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beneficiari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ai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serviciilor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publice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6.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exercitarea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atribuțiilor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serviciu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afara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sediului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publice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7.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gestionarea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informației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obținere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deținere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utilizare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gram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informației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accesul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informații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confidențiale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gestionarea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informațiilor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clasificate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8.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gestionarea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mijloacelor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financiare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9.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achiziția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gestionarea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bunuri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servicii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lucrări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10.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acordarea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aprobări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avize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ori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autorizații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11.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eliberare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emitere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unor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documente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12.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îndeplinirea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funcțiilor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control,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supraveghere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evaluare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consiliere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, audit;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13.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competența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decizională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exclusivă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14.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recrutare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selecție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personalului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15.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constatare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conformitate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încălcare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legii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aplicare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sancțiuni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C5309" w:rsidRPr="005F3825" w:rsidTr="00366CC1">
        <w:trPr>
          <w:trHeight w:val="16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2 -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medie</w:t>
            </w:r>
            <w:proofErr w:type="spellEnd"/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Amenințarea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corupție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este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posibilă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aceasta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poate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manifesta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Există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cazuri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corupție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domenii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similare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ori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situații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prezintă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similitudini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amenințarea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definită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Sunt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prezenți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maximum 5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factori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favorizanți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309" w:rsidRPr="005F3825" w:rsidTr="00366CC1">
        <w:trPr>
          <w:trHeight w:val="202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3 -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ridicată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Amenințarea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corupție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poate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manifeste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mod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curent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Există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cazuri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corupție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propria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Există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multiple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cazuri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domenii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similare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ori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situații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prezintă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multiple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similitudini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amenințarea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definită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Sunt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prezenți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peste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factori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favorizanți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309" w:rsidRPr="005F3825" w:rsidTr="00366CC1">
        <w:trPr>
          <w:trHeight w:val="26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ipoteza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factorii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favorizanți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reprezintă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unicul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indicator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identificat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prezența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unui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anumit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număr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factori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favorizanți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nu conduce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mod automat la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introducerea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riscului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într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-o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anumită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categorie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Grupul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lucru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luând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această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decizie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baza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analizei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concrete.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Prezența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acestor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factori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nivelul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personalului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evaluează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către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Grupul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lucru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baza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actelor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normative,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procedurilor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interne, precum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având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vedere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datele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informațiile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dar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experiența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membrilor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6C5309" w:rsidRPr="005F3825" w:rsidRDefault="006C5309" w:rsidP="006C5309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7F7F7"/>
        </w:rPr>
      </w:pPr>
    </w:p>
    <w:p w:rsidR="006C5309" w:rsidRPr="005F3825" w:rsidRDefault="006C5309" w:rsidP="006C5309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7F7F7"/>
        </w:rPr>
      </w:pPr>
    </w:p>
    <w:p w:rsidR="006C5309" w:rsidRPr="005F3825" w:rsidRDefault="006C5309" w:rsidP="006C5309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7F7F7"/>
        </w:rPr>
      </w:pPr>
    </w:p>
    <w:p w:rsidR="006C5309" w:rsidRPr="005F3825" w:rsidRDefault="006C5309" w:rsidP="006C5309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7F7F7"/>
        </w:rPr>
      </w:pPr>
    </w:p>
    <w:p w:rsidR="006C5309" w:rsidRPr="005F3825" w:rsidRDefault="006C5309" w:rsidP="006C5309">
      <w:pPr>
        <w:shd w:val="clear" w:color="auto" w:fill="F7F7F7"/>
        <w:jc w:val="right"/>
        <w:rPr>
          <w:rFonts w:ascii="Times New Roman" w:eastAsia="Times New Roman" w:hAnsi="Times New Roman"/>
          <w:sz w:val="24"/>
          <w:szCs w:val="24"/>
        </w:rPr>
      </w:pPr>
      <w:r w:rsidRPr="005F3825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br/>
        <w:t>ANEXA Nr. 3 </w:t>
      </w:r>
      <w:r w:rsidRPr="005F3825">
        <w:rPr>
          <w:rFonts w:ascii="Times New Roman" w:eastAsia="Times New Roman" w:hAnsi="Times New Roman"/>
          <w:b/>
          <w:bCs/>
          <w:sz w:val="24"/>
          <w:szCs w:val="24"/>
          <w:u w:val="single"/>
        </w:rPr>
        <w:br/>
      </w:r>
      <w:r w:rsidRPr="005F3825">
        <w:rPr>
          <w:rFonts w:ascii="Times New Roman" w:eastAsia="Times New Roman" w:hAnsi="Times New Roman"/>
          <w:sz w:val="24"/>
          <w:szCs w:val="24"/>
        </w:rPr>
        <w:t> </w:t>
      </w:r>
    </w:p>
    <w:p w:rsidR="006C5309" w:rsidRPr="005F3825" w:rsidRDefault="006C5309" w:rsidP="006C5309">
      <w:pPr>
        <w:shd w:val="clear" w:color="auto" w:fill="F7F7F7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F3825">
        <w:rPr>
          <w:rFonts w:ascii="Times New Roman" w:eastAsia="Times New Roman" w:hAnsi="Times New Roman"/>
          <w:sz w:val="24"/>
          <w:szCs w:val="24"/>
        </w:rPr>
        <w:t>Indicatorii</w:t>
      </w:r>
      <w:proofErr w:type="spellEnd"/>
      <w:r w:rsidRPr="005F382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5F3825">
        <w:rPr>
          <w:rFonts w:ascii="Times New Roman" w:eastAsia="Times New Roman" w:hAnsi="Times New Roman"/>
          <w:sz w:val="24"/>
          <w:szCs w:val="24"/>
        </w:rPr>
        <w:t>estimare</w:t>
      </w:r>
      <w:proofErr w:type="spellEnd"/>
      <w:r w:rsidRPr="005F38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F3825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5F38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F3825">
        <w:rPr>
          <w:rFonts w:ascii="Times New Roman" w:eastAsia="Times New Roman" w:hAnsi="Times New Roman"/>
          <w:sz w:val="24"/>
          <w:szCs w:val="24"/>
        </w:rPr>
        <w:t>impactului</w:t>
      </w:r>
      <w:proofErr w:type="spellEnd"/>
      <w:r w:rsidRPr="005F38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F382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5F38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F3825">
        <w:rPr>
          <w:rFonts w:ascii="Times New Roman" w:eastAsia="Times New Roman" w:hAnsi="Times New Roman"/>
          <w:sz w:val="24"/>
          <w:szCs w:val="24"/>
        </w:rPr>
        <w:t>situația</w:t>
      </w:r>
      <w:proofErr w:type="spellEnd"/>
      <w:r w:rsidRPr="005F38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F3825">
        <w:rPr>
          <w:rFonts w:ascii="Times New Roman" w:eastAsia="Times New Roman" w:hAnsi="Times New Roman"/>
          <w:sz w:val="24"/>
          <w:szCs w:val="24"/>
        </w:rPr>
        <w:t>materializării</w:t>
      </w:r>
      <w:proofErr w:type="spellEnd"/>
      <w:r w:rsidRPr="005F38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F3825">
        <w:rPr>
          <w:rFonts w:ascii="Times New Roman" w:eastAsia="Times New Roman" w:hAnsi="Times New Roman"/>
          <w:sz w:val="24"/>
          <w:szCs w:val="24"/>
        </w:rPr>
        <w:t>riscurilor</w:t>
      </w:r>
      <w:proofErr w:type="spellEnd"/>
      <w:r w:rsidRPr="005F382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5F3825">
        <w:rPr>
          <w:rFonts w:ascii="Times New Roman" w:eastAsia="Times New Roman" w:hAnsi="Times New Roman"/>
          <w:sz w:val="24"/>
          <w:szCs w:val="24"/>
        </w:rPr>
        <w:t>corupție</w:t>
      </w:r>
      <w:proofErr w:type="spellEnd"/>
      <w:r w:rsidRPr="005F3825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9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095"/>
        <w:gridCol w:w="3714"/>
        <w:gridCol w:w="3440"/>
        <w:gridCol w:w="1712"/>
      </w:tblGrid>
      <w:tr w:rsidR="006C5309" w:rsidRPr="005F3825" w:rsidTr="00366CC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309" w:rsidRPr="005F3825" w:rsidTr="00366CC1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Nivelul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impactului</w:t>
            </w:r>
            <w:proofErr w:type="spellEnd"/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Descriere</w:t>
            </w:r>
            <w:proofErr w:type="spellEnd"/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Indicatori</w:t>
            </w:r>
            <w:proofErr w:type="spellEnd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Observații</w:t>
            </w:r>
            <w:proofErr w:type="spellEnd"/>
          </w:p>
        </w:tc>
      </w:tr>
      <w:tr w:rsidR="006C5309" w:rsidRPr="005F3825" w:rsidTr="00366CC1">
        <w:trPr>
          <w:trHeight w:val="28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1 -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scăzut</w:t>
            </w:r>
            <w:proofErr w:type="spellEnd"/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Producerea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faptei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corupție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nu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afectează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activitatea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ansamblu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gram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având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impact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financiar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imagine minim.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• nu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generează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efecte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nivelul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altor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excepția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celei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cadrul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căreia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s-a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produs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fapta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afectarea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neglijabilă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nesemnificativă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desfășurării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impact minor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nesemnificativ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asupra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atingerii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obiectivelor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profesionale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susceptibil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a conduce/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provoca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publicitate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negativă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afectează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mică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măsură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pe o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perioadă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scurtă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timp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percepția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asupra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corpului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profesional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impact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financiar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minim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inexistent.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Efectele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nivelul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cadrul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căreia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s-a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produs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fapta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nivelul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celorlalte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evaluează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punctul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vedere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perturbării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calendarului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calității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serviciilor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legalității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eficienței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administrative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economice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Impactul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financiar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analizează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baza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resurselor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cheltuite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ineficient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mod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ilegal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precum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baza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eventualelor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pierderi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dacă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este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cazul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C5309" w:rsidRPr="005F3825" w:rsidTr="00366CC1">
        <w:trPr>
          <w:trHeight w:val="18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2 -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mediu</w:t>
            </w:r>
            <w:proofErr w:type="spellEnd"/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Producerea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faptei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corupție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aduce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atingere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modului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desfășurare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gram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ansamblu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are impact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financiar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afectează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imaginea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aduce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atingere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modului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desfășurare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gram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ansamblu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(nu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numai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cadrul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căreia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s-a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produs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fapta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);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obiectivele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profesionale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sunt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atinse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parțial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eficiența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este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afectată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există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impact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financiar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imaginea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fost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afectată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existând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publicitate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negativă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precădere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nivel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local.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309" w:rsidRPr="005F3825" w:rsidTr="00366CC1">
        <w:trPr>
          <w:trHeight w:val="39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3 -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ridicat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Producerea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faptei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corupție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aduce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atingere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gravă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modului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desfășurare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</w:t>
            </w:r>
            <w:proofErr w:type="gram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chiar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blochează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desfășurarea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acesteia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are impact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financiar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important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aduce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grave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prejudicii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imagine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atingere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gravă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adusă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imposibilitate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îndeplinire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obiectivelor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stabilite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domeniul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un impact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semnificativ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asupra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acestora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deteriorarea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termen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mediu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lung 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eficienței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întârzieri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derularea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planificate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pierderi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financiare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înlocuirea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ori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instruirea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personalului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schimbarea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procedurilor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desfășurare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achiziții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neplanificate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mijloace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tehnice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etc.; </w:t>
            </w: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imaginea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instituției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fost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puternic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afectată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existând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publicitate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negativă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, la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nivel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național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internațional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C5309" w:rsidRPr="005F3825" w:rsidRDefault="006C5309" w:rsidP="006C5309">
      <w:pPr>
        <w:jc w:val="right"/>
        <w:rPr>
          <w:rFonts w:ascii="Times New Roman" w:hAnsi="Times New Roman"/>
          <w:b/>
          <w:bCs/>
          <w:sz w:val="24"/>
          <w:szCs w:val="24"/>
          <w:u w:val="single"/>
          <w:shd w:val="clear" w:color="auto" w:fill="F7F7F7"/>
        </w:rPr>
      </w:pPr>
    </w:p>
    <w:p w:rsidR="006C5309" w:rsidRPr="005F3825" w:rsidRDefault="006C5309" w:rsidP="006C5309">
      <w:pPr>
        <w:jc w:val="right"/>
        <w:rPr>
          <w:rFonts w:ascii="Times New Roman" w:hAnsi="Times New Roman"/>
          <w:b/>
          <w:bCs/>
          <w:sz w:val="24"/>
          <w:szCs w:val="24"/>
          <w:u w:val="single"/>
          <w:shd w:val="clear" w:color="auto" w:fill="F7F7F7"/>
        </w:rPr>
      </w:pPr>
      <w:r w:rsidRPr="005F3825">
        <w:rPr>
          <w:rFonts w:ascii="Times New Roman" w:hAnsi="Times New Roman"/>
          <w:b/>
          <w:bCs/>
          <w:sz w:val="24"/>
          <w:szCs w:val="24"/>
          <w:u w:val="single"/>
          <w:shd w:val="clear" w:color="auto" w:fill="F7F7F7"/>
        </w:rPr>
        <w:t>ANEXA Nr. 4</w:t>
      </w:r>
    </w:p>
    <w:p w:rsidR="006C5309" w:rsidRPr="005F3825" w:rsidRDefault="006C5309" w:rsidP="006C530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5F3825">
        <w:rPr>
          <w:rFonts w:ascii="Times New Roman" w:eastAsia="Times New Roman" w:hAnsi="Times New Roman"/>
          <w:b/>
          <w:sz w:val="24"/>
          <w:szCs w:val="24"/>
        </w:rPr>
        <w:t>Formatul</w:t>
      </w:r>
      <w:proofErr w:type="spellEnd"/>
      <w:r w:rsidRPr="005F382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F3825">
        <w:rPr>
          <w:rFonts w:ascii="Times New Roman" w:eastAsia="Times New Roman" w:hAnsi="Times New Roman"/>
          <w:b/>
          <w:sz w:val="24"/>
          <w:szCs w:val="24"/>
        </w:rPr>
        <w:t>registrului</w:t>
      </w:r>
      <w:proofErr w:type="spellEnd"/>
      <w:r w:rsidRPr="005F382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F3825">
        <w:rPr>
          <w:rFonts w:ascii="Times New Roman" w:eastAsia="Times New Roman" w:hAnsi="Times New Roman"/>
          <w:b/>
          <w:sz w:val="24"/>
          <w:szCs w:val="24"/>
        </w:rPr>
        <w:t>riscurilor</w:t>
      </w:r>
      <w:proofErr w:type="spellEnd"/>
      <w:r w:rsidRPr="005F3825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5F3825">
        <w:rPr>
          <w:rFonts w:ascii="Times New Roman" w:eastAsia="Times New Roman" w:hAnsi="Times New Roman"/>
          <w:b/>
          <w:sz w:val="24"/>
          <w:szCs w:val="24"/>
        </w:rPr>
        <w:t>corupție</w:t>
      </w:r>
      <w:proofErr w:type="spellEnd"/>
      <w:r w:rsidRPr="005F3825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6C5309" w:rsidRPr="005F3825" w:rsidRDefault="006C5309" w:rsidP="006C5309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101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428"/>
        <w:gridCol w:w="1041"/>
        <w:gridCol w:w="709"/>
        <w:gridCol w:w="1242"/>
        <w:gridCol w:w="803"/>
        <w:gridCol w:w="968"/>
        <w:gridCol w:w="1118"/>
        <w:gridCol w:w="1335"/>
        <w:gridCol w:w="1481"/>
      </w:tblGrid>
      <w:tr w:rsidR="006C5309" w:rsidRPr="005F3825" w:rsidTr="00366CC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309" w:rsidRPr="005F3825" w:rsidTr="00366CC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Identificarea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evaluarea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riscurilor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corupție</w:t>
            </w:r>
            <w:proofErr w:type="spellEnd"/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Stabilirea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măsurilor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intervenție</w:t>
            </w:r>
            <w:proofErr w:type="spellEnd"/>
          </w:p>
        </w:tc>
      </w:tr>
      <w:tr w:rsidR="006C5309" w:rsidRPr="005F3825" w:rsidTr="00366CC1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Domeniul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activitate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care se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manifestă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riscul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corupție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Descrierea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riscului</w:t>
            </w:r>
            <w:proofErr w:type="spellEnd"/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Cauze</w:t>
            </w:r>
            <w:proofErr w:type="spellEnd"/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Probabilitate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Impact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Expunere</w:t>
            </w:r>
            <w:proofErr w:type="spellEnd"/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Măsuri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intervenție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implementare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Termen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Durată</w:t>
            </w:r>
            <w:proofErr w:type="spellEnd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3825">
              <w:rPr>
                <w:rFonts w:ascii="Times New Roman" w:eastAsia="Times New Roman" w:hAnsi="Times New Roman"/>
                <w:sz w:val="24"/>
                <w:szCs w:val="24"/>
              </w:rPr>
              <w:t>implementare</w:t>
            </w:r>
            <w:proofErr w:type="spellEnd"/>
          </w:p>
        </w:tc>
      </w:tr>
      <w:tr w:rsidR="006C5309" w:rsidRPr="005F3825" w:rsidTr="00366CC1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309" w:rsidRPr="005F3825" w:rsidTr="00366CC1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309" w:rsidRPr="005F3825" w:rsidTr="00366CC1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09" w:rsidRPr="005F3825" w:rsidRDefault="006C5309" w:rsidP="00366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09" w:rsidRPr="005F3825" w:rsidRDefault="006C5309" w:rsidP="00366C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C5309" w:rsidRPr="005F3825" w:rsidRDefault="006C5309" w:rsidP="006C5309">
      <w:pPr>
        <w:spacing w:line="240" w:lineRule="exact"/>
        <w:rPr>
          <w:rFonts w:ascii="Times New Roman" w:hAnsi="Times New Roman"/>
          <w:bCs/>
          <w:sz w:val="24"/>
          <w:szCs w:val="24"/>
          <w:lang w:val="ro-RO"/>
        </w:rPr>
      </w:pPr>
      <w:r w:rsidRPr="005F382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C5309" w:rsidRPr="005F3825" w:rsidRDefault="006C5309" w:rsidP="006C5309">
      <w:pPr>
        <w:spacing w:line="240" w:lineRule="exact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:rsidR="006C5309" w:rsidRPr="005F3825" w:rsidRDefault="006C5309" w:rsidP="006C5309">
      <w:pPr>
        <w:spacing w:line="360" w:lineRule="auto"/>
        <w:ind w:left="720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6C5309" w:rsidRPr="005F3825" w:rsidRDefault="006C5309" w:rsidP="006C5309">
      <w:pPr>
        <w:ind w:left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6C5309" w:rsidRPr="005F3825" w:rsidRDefault="006C5309" w:rsidP="006C530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6C5309" w:rsidRPr="005F3825" w:rsidRDefault="006C5309" w:rsidP="006C5309">
      <w:pPr>
        <w:tabs>
          <w:tab w:val="left" w:pos="2280"/>
        </w:tabs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5F3825">
        <w:rPr>
          <w:rFonts w:ascii="Times New Roman" w:eastAsia="Times New Roman" w:hAnsi="Times New Roman"/>
          <w:sz w:val="24"/>
          <w:szCs w:val="24"/>
        </w:rPr>
        <w:tab/>
      </w:r>
    </w:p>
    <w:p w:rsidR="006C5309" w:rsidRPr="005F3825" w:rsidRDefault="006C5309" w:rsidP="006C5309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F0160" w:rsidRPr="005F3825" w:rsidRDefault="00FF0160" w:rsidP="006C5309">
      <w:pPr>
        <w:rPr>
          <w:rFonts w:ascii="Times New Roman" w:hAnsi="Times New Roman"/>
        </w:rPr>
      </w:pPr>
    </w:p>
    <w:sectPr w:rsidR="00FF0160" w:rsidRPr="005F3825" w:rsidSect="00282462">
      <w:headerReference w:type="default" r:id="rId12"/>
      <w:footerReference w:type="default" r:id="rId13"/>
      <w:pgSz w:w="11906" w:h="16838"/>
      <w:pgMar w:top="567" w:right="567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D45" w:rsidRDefault="00932D45" w:rsidP="003425AD">
      <w:pPr>
        <w:spacing w:after="0" w:line="240" w:lineRule="auto"/>
      </w:pPr>
      <w:r>
        <w:separator/>
      </w:r>
    </w:p>
  </w:endnote>
  <w:endnote w:type="continuationSeparator" w:id="0">
    <w:p w:rsidR="00932D45" w:rsidRDefault="00932D45" w:rsidP="0034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1D" w:rsidRPr="006C5309" w:rsidRDefault="00B1211D">
    <w:pPr>
      <w:pStyle w:val="Subsol"/>
      <w:jc w:val="right"/>
      <w:rPr>
        <w:rFonts w:ascii="Times New Roman" w:hAnsi="Times New Roman"/>
      </w:rPr>
    </w:pPr>
  </w:p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137"/>
    </w:tblGrid>
    <w:tr w:rsidR="00B1211D" w:rsidRPr="00185AA9" w:rsidTr="00366CC1">
      <w:trPr>
        <w:trHeight w:val="1414"/>
      </w:trPr>
      <w:tc>
        <w:tcPr>
          <w:tcW w:w="5000" w:type="pct"/>
          <w:shd w:val="clear" w:color="auto" w:fill="auto"/>
        </w:tcPr>
        <w:p w:rsidR="00B1211D" w:rsidRPr="00185AA9" w:rsidRDefault="008E7CEE" w:rsidP="00B1211D">
          <w:pPr>
            <w:pStyle w:val="Subsol"/>
            <w:jc w:val="right"/>
            <w:rPr>
              <w:rFonts w:ascii="Times New Roman" w:hAnsi="Times New Roman"/>
              <w:color w:val="7F7F7F"/>
              <w:lang w:val="en-US"/>
            </w:rPr>
          </w:pPr>
          <w:bookmarkStart w:id="1" w:name="_Hlk6559338"/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contact</w:t>
          </w:r>
        </w:p>
      </w:tc>
    </w:tr>
  </w:tbl>
  <w:bookmarkEnd w:id="1"/>
  <w:p w:rsidR="00282462" w:rsidRPr="006C5309" w:rsidRDefault="00282462">
    <w:pPr>
      <w:pStyle w:val="Subsol"/>
      <w:jc w:val="right"/>
      <w:rPr>
        <w:rFonts w:ascii="Times New Roman" w:hAnsi="Times New Roman"/>
      </w:rPr>
    </w:pPr>
    <w:r w:rsidRPr="006C5309">
      <w:rPr>
        <w:rFonts w:ascii="Times New Roman" w:hAnsi="Times New Roman"/>
      </w:rPr>
      <w:fldChar w:fldCharType="begin"/>
    </w:r>
    <w:r w:rsidRPr="006C5309">
      <w:rPr>
        <w:rFonts w:ascii="Times New Roman" w:hAnsi="Times New Roman"/>
      </w:rPr>
      <w:instrText>PAGE   \* MERGEFORMAT</w:instrText>
    </w:r>
    <w:r w:rsidRPr="006C5309">
      <w:rPr>
        <w:rFonts w:ascii="Times New Roman" w:hAnsi="Times New Roman"/>
      </w:rPr>
      <w:fldChar w:fldCharType="separate"/>
    </w:r>
    <w:r w:rsidR="003C29FD" w:rsidRPr="003C29FD">
      <w:rPr>
        <w:rFonts w:ascii="Times New Roman" w:hAnsi="Times New Roman"/>
        <w:noProof/>
        <w:lang w:val="ro-RO"/>
      </w:rPr>
      <w:t>6</w:t>
    </w:r>
    <w:r w:rsidRPr="006C5309">
      <w:rPr>
        <w:rFonts w:ascii="Times New Roman" w:hAnsi="Times New Roman"/>
      </w:rPr>
      <w:fldChar w:fldCharType="end"/>
    </w:r>
  </w:p>
  <w:p w:rsidR="00F419DF" w:rsidRPr="006C5309" w:rsidRDefault="00F419DF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D45" w:rsidRDefault="00932D45" w:rsidP="003425AD">
      <w:pPr>
        <w:spacing w:after="0" w:line="240" w:lineRule="auto"/>
      </w:pPr>
      <w:r>
        <w:separator/>
      </w:r>
    </w:p>
  </w:footnote>
  <w:footnote w:type="continuationSeparator" w:id="0">
    <w:p w:rsidR="00932D45" w:rsidRDefault="00932D45" w:rsidP="0034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62" w:type="pct"/>
      <w:tblInd w:w="-227" w:type="dxa"/>
      <w:tblBorders>
        <w:bottom w:val="single" w:sz="4" w:space="0" w:color="auto"/>
      </w:tblBorders>
      <w:tblCellMar>
        <w:left w:w="57" w:type="dxa"/>
        <w:right w:w="0" w:type="dxa"/>
      </w:tblCellMar>
      <w:tblLook w:val="04A0" w:firstRow="1" w:lastRow="0" w:firstColumn="1" w:lastColumn="0" w:noHBand="0" w:noVBand="1"/>
    </w:tblPr>
    <w:tblGrid>
      <w:gridCol w:w="1319"/>
      <w:gridCol w:w="2893"/>
      <w:gridCol w:w="3270"/>
      <w:gridCol w:w="3418"/>
    </w:tblGrid>
    <w:tr w:rsidR="00F419DF" w:rsidRPr="00185AA9" w:rsidTr="00A70B08">
      <w:trPr>
        <w:trHeight w:val="1418"/>
      </w:trPr>
      <w:tc>
        <w:tcPr>
          <w:tcW w:w="605" w:type="pct"/>
          <w:shd w:val="clear" w:color="auto" w:fill="auto"/>
          <w:vAlign w:val="center"/>
        </w:tcPr>
        <w:p w:rsidR="00DC2927" w:rsidRPr="00185AA9" w:rsidRDefault="008E7CEE" w:rsidP="00F419DF">
          <w:pPr>
            <w:spacing w:after="0" w:line="240" w:lineRule="auto"/>
            <w:contextualSpacing/>
            <w:rPr>
              <w:sz w:val="28"/>
              <w:szCs w:val="28"/>
            </w:rPr>
          </w:pPr>
          <w:r>
            <w:rPr>
              <w:sz w:val="28"/>
              <w:szCs w:val="28"/>
            </w:rPr>
            <w:t>ANTET</w:t>
          </w:r>
        </w:p>
      </w:tc>
      <w:tc>
        <w:tcPr>
          <w:tcW w:w="1327" w:type="pct"/>
          <w:shd w:val="clear" w:color="auto" w:fill="auto"/>
          <w:vAlign w:val="center"/>
        </w:tcPr>
        <w:p w:rsidR="00DC2927" w:rsidRPr="00185AA9" w:rsidRDefault="00DC2927" w:rsidP="00F419DF">
          <w:pPr>
            <w:spacing w:after="0" w:line="240" w:lineRule="auto"/>
            <w:contextualSpacing/>
            <w:rPr>
              <w:b/>
              <w:spacing w:val="76"/>
            </w:rPr>
          </w:pPr>
        </w:p>
      </w:tc>
      <w:tc>
        <w:tcPr>
          <w:tcW w:w="1500" w:type="pct"/>
          <w:vAlign w:val="center"/>
        </w:tcPr>
        <w:p w:rsidR="00DC2927" w:rsidRPr="00185AA9" w:rsidRDefault="00DC2927" w:rsidP="00F419DF">
          <w:pPr>
            <w:spacing w:after="0" w:line="240" w:lineRule="auto"/>
            <w:contextualSpacing/>
          </w:pPr>
        </w:p>
      </w:tc>
      <w:tc>
        <w:tcPr>
          <w:tcW w:w="1569" w:type="pct"/>
          <w:shd w:val="clear" w:color="auto" w:fill="auto"/>
          <w:vAlign w:val="center"/>
        </w:tcPr>
        <w:p w:rsidR="00DC2927" w:rsidRPr="00185AA9" w:rsidRDefault="00DC2927" w:rsidP="00F419DF">
          <w:pPr>
            <w:spacing w:after="0" w:line="240" w:lineRule="auto"/>
            <w:contextualSpacing/>
            <w:rPr>
              <w:spacing w:val="24"/>
              <w:sz w:val="28"/>
              <w:szCs w:val="28"/>
            </w:rPr>
          </w:pPr>
        </w:p>
      </w:tc>
    </w:tr>
  </w:tbl>
  <w:p w:rsidR="003425AD" w:rsidRPr="00DC2927" w:rsidRDefault="003425AD" w:rsidP="00DC2927">
    <w:pPr>
      <w:pStyle w:val="Antet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75D"/>
    <w:multiLevelType w:val="multilevel"/>
    <w:tmpl w:val="24F2C75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101EF"/>
    <w:multiLevelType w:val="hybridMultilevel"/>
    <w:tmpl w:val="CEA068D2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5EB2"/>
    <w:multiLevelType w:val="hybridMultilevel"/>
    <w:tmpl w:val="B8E01872"/>
    <w:lvl w:ilvl="0" w:tplc="F626BC7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07093"/>
    <w:multiLevelType w:val="hybridMultilevel"/>
    <w:tmpl w:val="0BD4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5EBB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FA3BD7"/>
    <w:multiLevelType w:val="hybridMultilevel"/>
    <w:tmpl w:val="B33CB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1B0B25"/>
    <w:multiLevelType w:val="hybridMultilevel"/>
    <w:tmpl w:val="9B1628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E5CFB"/>
    <w:multiLevelType w:val="hybridMultilevel"/>
    <w:tmpl w:val="A1C44E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95406"/>
    <w:multiLevelType w:val="hybridMultilevel"/>
    <w:tmpl w:val="3D7AC94E"/>
    <w:lvl w:ilvl="0" w:tplc="0418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62B1701"/>
    <w:multiLevelType w:val="hybridMultilevel"/>
    <w:tmpl w:val="39F03D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30789"/>
    <w:multiLevelType w:val="hybridMultilevel"/>
    <w:tmpl w:val="AAA29490"/>
    <w:lvl w:ilvl="0" w:tplc="F0B4E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077B3"/>
    <w:multiLevelType w:val="hybridMultilevel"/>
    <w:tmpl w:val="1ED89B22"/>
    <w:lvl w:ilvl="0" w:tplc="F9A86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F07F2"/>
    <w:multiLevelType w:val="multilevel"/>
    <w:tmpl w:val="853CBB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DF5804"/>
    <w:multiLevelType w:val="hybridMultilevel"/>
    <w:tmpl w:val="AD1C823E"/>
    <w:lvl w:ilvl="0" w:tplc="F0B4E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3113AF"/>
    <w:multiLevelType w:val="hybridMultilevel"/>
    <w:tmpl w:val="925E95A8"/>
    <w:lvl w:ilvl="0" w:tplc="F0B4E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21BAC"/>
    <w:multiLevelType w:val="hybridMultilevel"/>
    <w:tmpl w:val="AF025D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C7312"/>
    <w:multiLevelType w:val="hybridMultilevel"/>
    <w:tmpl w:val="7F460F92"/>
    <w:lvl w:ilvl="0" w:tplc="2F94C6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4043FE"/>
    <w:multiLevelType w:val="hybridMultilevel"/>
    <w:tmpl w:val="9BACB458"/>
    <w:lvl w:ilvl="0" w:tplc="EF5C5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86059E"/>
    <w:multiLevelType w:val="multilevel"/>
    <w:tmpl w:val="54E4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711ADA"/>
    <w:multiLevelType w:val="hybridMultilevel"/>
    <w:tmpl w:val="1AD8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67F78"/>
    <w:multiLevelType w:val="hybridMultilevel"/>
    <w:tmpl w:val="5386CF1A"/>
    <w:lvl w:ilvl="0" w:tplc="F0B4E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7"/>
  </w:num>
  <w:num w:numId="5">
    <w:abstractNumId w:val="18"/>
  </w:num>
  <w:num w:numId="6">
    <w:abstractNumId w:val="12"/>
  </w:num>
  <w:num w:numId="7">
    <w:abstractNumId w:val="19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15"/>
  </w:num>
  <w:num w:numId="14">
    <w:abstractNumId w:val="4"/>
  </w:num>
  <w:num w:numId="15">
    <w:abstractNumId w:val="16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AD"/>
    <w:rsid w:val="00043A38"/>
    <w:rsid w:val="00066E3B"/>
    <w:rsid w:val="000B39CB"/>
    <w:rsid w:val="00104497"/>
    <w:rsid w:val="00185AA9"/>
    <w:rsid w:val="00282462"/>
    <w:rsid w:val="002C1236"/>
    <w:rsid w:val="003425AD"/>
    <w:rsid w:val="00366CC1"/>
    <w:rsid w:val="003B1E9A"/>
    <w:rsid w:val="003C29FD"/>
    <w:rsid w:val="004132E4"/>
    <w:rsid w:val="004976B5"/>
    <w:rsid w:val="004F0B2C"/>
    <w:rsid w:val="00524C8E"/>
    <w:rsid w:val="005728A3"/>
    <w:rsid w:val="005B2D2A"/>
    <w:rsid w:val="005C029B"/>
    <w:rsid w:val="005C1AB2"/>
    <w:rsid w:val="005F3825"/>
    <w:rsid w:val="00617CEC"/>
    <w:rsid w:val="006C5309"/>
    <w:rsid w:val="006D5E93"/>
    <w:rsid w:val="008C78F7"/>
    <w:rsid w:val="008D54E3"/>
    <w:rsid w:val="008E7CEE"/>
    <w:rsid w:val="009168DB"/>
    <w:rsid w:val="00932D45"/>
    <w:rsid w:val="009A7BBF"/>
    <w:rsid w:val="009D33D5"/>
    <w:rsid w:val="00A6540F"/>
    <w:rsid w:val="00A70B08"/>
    <w:rsid w:val="00A95523"/>
    <w:rsid w:val="00B1211D"/>
    <w:rsid w:val="00B559D2"/>
    <w:rsid w:val="00BA6A2B"/>
    <w:rsid w:val="00BB7F8C"/>
    <w:rsid w:val="00BE57F0"/>
    <w:rsid w:val="00BF0268"/>
    <w:rsid w:val="00C52551"/>
    <w:rsid w:val="00DC2927"/>
    <w:rsid w:val="00E640F2"/>
    <w:rsid w:val="00F419DF"/>
    <w:rsid w:val="00F51F74"/>
    <w:rsid w:val="00F967FD"/>
    <w:rsid w:val="00FF0160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C84CF"/>
  <w15:docId w15:val="{CF01F17F-C76D-4B17-9430-B58704D4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Titlu1">
    <w:name w:val="heading 1"/>
    <w:basedOn w:val="Normal"/>
    <w:link w:val="Titlu1Caracter"/>
    <w:uiPriority w:val="9"/>
    <w:qFormat/>
    <w:rsid w:val="00572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42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425AD"/>
  </w:style>
  <w:style w:type="paragraph" w:styleId="Subsol">
    <w:name w:val="footer"/>
    <w:basedOn w:val="Normal"/>
    <w:link w:val="SubsolCaracter"/>
    <w:uiPriority w:val="99"/>
    <w:unhideWhenUsed/>
    <w:rsid w:val="00342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425AD"/>
  </w:style>
  <w:style w:type="paragraph" w:styleId="TextnBalon">
    <w:name w:val="Balloon Text"/>
    <w:basedOn w:val="Normal"/>
    <w:link w:val="TextnBalonCaracter"/>
    <w:uiPriority w:val="99"/>
    <w:semiHidden/>
    <w:unhideWhenUsed/>
    <w:rsid w:val="0034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3425AD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F419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39CB"/>
    <w:rPr>
      <w:rFonts w:ascii="Times New Roman" w:hAnsi="Times New Roman"/>
      <w:sz w:val="24"/>
      <w:szCs w:val="24"/>
    </w:rPr>
  </w:style>
  <w:style w:type="paragraph" w:customStyle="1" w:styleId="CharChar4Char">
    <w:name w:val="Char Char4 Char"/>
    <w:basedOn w:val="Normal"/>
    <w:rsid w:val="00BA6A2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E640F2"/>
    <w:pPr>
      <w:ind w:left="720"/>
      <w:contextualSpacing/>
    </w:pPr>
  </w:style>
  <w:style w:type="paragraph" w:customStyle="1" w:styleId="CharChar4Char0">
    <w:name w:val="Char Char4 Char"/>
    <w:basedOn w:val="Normal"/>
    <w:rsid w:val="0028246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xtnotdesubsol">
    <w:name w:val="footnote text"/>
    <w:basedOn w:val="Normal"/>
    <w:link w:val="TextnotdesubsolCaracter"/>
    <w:semiHidden/>
    <w:rsid w:val="00282462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link w:val="Textnotdesubsol"/>
    <w:semiHidden/>
    <w:rsid w:val="0028246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table" w:styleId="Tabelgril">
    <w:name w:val="Table Grid"/>
    <w:basedOn w:val="TabelNormal"/>
    <w:uiPriority w:val="59"/>
    <w:rsid w:val="005C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1">
    <w:name w:val="Char Char4 Char"/>
    <w:basedOn w:val="Normal"/>
    <w:rsid w:val="009A7BB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itlu1Caracter">
    <w:name w:val="Titlu 1 Caracter"/>
    <w:link w:val="Titlu1"/>
    <w:uiPriority w:val="9"/>
    <w:rsid w:val="005728A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customStyle="1" w:styleId="CharChar4CharCharChar">
    <w:name w:val="Char Char4 Char Char Char"/>
    <w:basedOn w:val="Normal"/>
    <w:rsid w:val="00524C8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Frspaiere">
    <w:name w:val="No Spacing"/>
    <w:uiPriority w:val="1"/>
    <w:qFormat/>
    <w:rsid w:val="006C5309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tm.ro/legislatie/monitoare-oficiale/Monitorul-751-din-data-30-08-201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tm.ro/img/files/METODOLOGIE%20STANDARD%20din%202%20august%20201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istm.ro/img/files/HOTA%CC%86RA%CC%82RE%20nr.%20599%20din%202%20august%20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tm.ro/img/files/HOTA%CC%86RA%CC%82RE%20nr.%20599%20din%202%20august%20201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74CD-7D0A-46DF-9AFD-5A8FFC99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12597</CharactersWithSpaces>
  <SharedDoc>false</SharedDoc>
  <HLinks>
    <vt:vector size="30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https://legistm.ro/img/files/METODOLOGIE STANDARD din 2 august 2018.pdf</vt:lpwstr>
      </vt:variant>
      <vt:variant>
        <vt:lpwstr/>
      </vt:variant>
      <vt:variant>
        <vt:i4>8126526</vt:i4>
      </vt:variant>
      <vt:variant>
        <vt:i4>6</vt:i4>
      </vt:variant>
      <vt:variant>
        <vt:i4>0</vt:i4>
      </vt:variant>
      <vt:variant>
        <vt:i4>5</vt:i4>
      </vt:variant>
      <vt:variant>
        <vt:lpwstr>https://legistm.ro/img/files/HOTA%CC%86RA%CC%82RE nr. 599 din 2 august 2018.pdf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https://legistm.ro/img/files/HOTA%CC%86RA%CC%82RE nr. 599 din 2 august 2018.pdf</vt:lpwstr>
      </vt:variant>
      <vt:variant>
        <vt:lpwstr/>
      </vt:variant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http://legistm.ro/legislatie/monitoare-oficiale/Monitorul-751-din-data-30-08-2018</vt:lpwstr>
      </vt:variant>
      <vt:variant>
        <vt:lpwstr/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http://isj.hd.edu.ro/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Ionut Nistor</cp:lastModifiedBy>
  <cp:revision>4</cp:revision>
  <cp:lastPrinted>2019-04-19T06:54:00Z</cp:lastPrinted>
  <dcterms:created xsi:type="dcterms:W3CDTF">2020-03-19T06:47:00Z</dcterms:created>
  <dcterms:modified xsi:type="dcterms:W3CDTF">2020-03-19T06:54:00Z</dcterms:modified>
</cp:coreProperties>
</file>